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6E31" w14:textId="6107CA0E" w:rsidR="00556918" w:rsidRDefault="00556918" w:rsidP="00556918">
      <w:pPr>
        <w:spacing w:before="0" w:after="0"/>
        <w:contextualSpacing/>
        <w:rPr>
          <w:rFonts w:cs="Arial"/>
          <w:b/>
          <w:bCs/>
          <w:color w:val="44257D"/>
          <w:sz w:val="20"/>
          <w:szCs w:val="20"/>
        </w:rPr>
      </w:pPr>
    </w:p>
    <w:p w14:paraId="57ED9455" w14:textId="77777777" w:rsidR="00556918" w:rsidRDefault="00556918" w:rsidP="00556918">
      <w:pPr>
        <w:spacing w:before="0" w:after="0"/>
        <w:contextualSpacing/>
        <w:rPr>
          <w:rFonts w:cs="Arial"/>
          <w:b/>
          <w:bCs/>
          <w:color w:val="44257D"/>
          <w:sz w:val="20"/>
          <w:szCs w:val="20"/>
        </w:rPr>
      </w:pPr>
    </w:p>
    <w:p w14:paraId="5D91DB8E" w14:textId="77777777" w:rsidR="00EF3A4D" w:rsidRDefault="00EF3A4D" w:rsidP="00900AD9">
      <w:pPr>
        <w:pStyle w:val="Heading1"/>
      </w:pPr>
    </w:p>
    <w:p w14:paraId="17238327" w14:textId="77777777" w:rsidR="00EF3A4D" w:rsidRDefault="00EF3A4D" w:rsidP="00900AD9">
      <w:pPr>
        <w:pStyle w:val="Heading1"/>
      </w:pPr>
    </w:p>
    <w:p w14:paraId="4E7E293B" w14:textId="77777777" w:rsidR="0079740B" w:rsidRPr="0079740B" w:rsidRDefault="0079740B" w:rsidP="0079740B"/>
    <w:p w14:paraId="1F99F859" w14:textId="41A37D16" w:rsidR="00603DA0" w:rsidRPr="00B404A9" w:rsidRDefault="00603DA0" w:rsidP="00603DA0">
      <w:pPr>
        <w:pStyle w:val="Heading1"/>
        <w:spacing w:line="360" w:lineRule="auto"/>
        <w:rPr>
          <w:color w:val="44257D"/>
        </w:rPr>
      </w:pPr>
      <w:bookmarkStart w:id="0" w:name="_Toc178960562"/>
      <w:r w:rsidRPr="00B404A9">
        <w:rPr>
          <w:color w:val="44257D"/>
        </w:rPr>
        <w:t xml:space="preserve">Report </w:t>
      </w:r>
      <w:r w:rsidR="005D0160">
        <w:rPr>
          <w:color w:val="44257D"/>
        </w:rPr>
        <w:t>two</w:t>
      </w:r>
      <w:r w:rsidRPr="00B404A9">
        <w:rPr>
          <w:color w:val="44257D"/>
        </w:rPr>
        <w:t xml:space="preserve">: </w:t>
      </w:r>
      <w:r w:rsidR="005D0160">
        <w:rPr>
          <w:color w:val="44257D"/>
        </w:rPr>
        <w:t>o</w:t>
      </w:r>
      <w:r w:rsidRPr="00B404A9">
        <w:rPr>
          <w:color w:val="44257D"/>
        </w:rPr>
        <w:t>verview summary of findings</w:t>
      </w:r>
      <w:bookmarkEnd w:id="0"/>
      <w:r w:rsidR="002F498D" w:rsidRPr="00B404A9">
        <w:rPr>
          <w:color w:val="44257D"/>
        </w:rPr>
        <w:t xml:space="preserve"> </w:t>
      </w:r>
    </w:p>
    <w:p w14:paraId="1FE6FE0C" w14:textId="140BA78E" w:rsidR="002F498D" w:rsidRPr="00B404A9" w:rsidRDefault="00B53F5F" w:rsidP="002F498D">
      <w:pPr>
        <w:pStyle w:val="Heading2"/>
        <w:spacing w:line="360" w:lineRule="auto"/>
        <w:rPr>
          <w:color w:val="44257D"/>
        </w:rPr>
      </w:pPr>
      <w:bookmarkStart w:id="1" w:name="_Toc178960563"/>
      <w:r w:rsidRPr="00B404A9">
        <w:rPr>
          <w:color w:val="44257D"/>
        </w:rPr>
        <w:t xml:space="preserve">One </w:t>
      </w:r>
      <w:r w:rsidR="005D0160">
        <w:rPr>
          <w:color w:val="44257D"/>
        </w:rPr>
        <w:t>o</w:t>
      </w:r>
      <w:r w:rsidRPr="00B404A9">
        <w:rPr>
          <w:color w:val="44257D"/>
        </w:rPr>
        <w:t xml:space="preserve">ff </w:t>
      </w:r>
      <w:r w:rsidR="005D0160">
        <w:rPr>
          <w:color w:val="44257D"/>
        </w:rPr>
        <w:t>m</w:t>
      </w:r>
      <w:r w:rsidR="002F498D" w:rsidRPr="00B404A9">
        <w:rPr>
          <w:color w:val="44257D"/>
        </w:rPr>
        <w:t xml:space="preserve">ental </w:t>
      </w:r>
      <w:r w:rsidR="005D0160">
        <w:rPr>
          <w:color w:val="44257D"/>
        </w:rPr>
        <w:t>h</w:t>
      </w:r>
      <w:r w:rsidR="002F498D" w:rsidRPr="00B404A9">
        <w:rPr>
          <w:color w:val="44257D"/>
        </w:rPr>
        <w:t xml:space="preserve">ealth </w:t>
      </w:r>
      <w:r w:rsidR="005D0160">
        <w:rPr>
          <w:color w:val="44257D"/>
        </w:rPr>
        <w:t>p</w:t>
      </w:r>
      <w:r w:rsidR="002F498D" w:rsidRPr="00B404A9">
        <w:rPr>
          <w:color w:val="44257D"/>
        </w:rPr>
        <w:t xml:space="preserve">ersonal </w:t>
      </w:r>
      <w:r w:rsidR="005D0160">
        <w:rPr>
          <w:color w:val="44257D"/>
        </w:rPr>
        <w:t>h</w:t>
      </w:r>
      <w:r w:rsidR="002F498D" w:rsidRPr="00B404A9">
        <w:rPr>
          <w:color w:val="44257D"/>
        </w:rPr>
        <w:t xml:space="preserve">ealth </w:t>
      </w:r>
      <w:r w:rsidR="005D0160">
        <w:rPr>
          <w:color w:val="44257D"/>
        </w:rPr>
        <w:t>b</w:t>
      </w:r>
      <w:r w:rsidR="002F498D" w:rsidRPr="00B404A9">
        <w:rPr>
          <w:color w:val="44257D"/>
        </w:rPr>
        <w:t>udgets</w:t>
      </w:r>
      <w:bookmarkEnd w:id="1"/>
    </w:p>
    <w:p w14:paraId="4E2D100F" w14:textId="526D0F5F" w:rsidR="005160BF" w:rsidRPr="00B137B7" w:rsidRDefault="005160BF" w:rsidP="005160BF">
      <w:pPr>
        <w:pStyle w:val="Heading3"/>
        <w:spacing w:line="360" w:lineRule="auto"/>
        <w:rPr>
          <w:sz w:val="24"/>
        </w:rPr>
      </w:pPr>
      <w:r w:rsidRPr="00B137B7">
        <w:rPr>
          <w:sz w:val="24"/>
        </w:rPr>
        <w:t>Matthew Riley</w:t>
      </w:r>
      <w:r w:rsidR="005D0160">
        <w:rPr>
          <w:sz w:val="24"/>
        </w:rPr>
        <w:t xml:space="preserve">, </w:t>
      </w:r>
      <w:r w:rsidRPr="00B137B7">
        <w:rPr>
          <w:sz w:val="24"/>
        </w:rPr>
        <w:t>Involvement Partner</w:t>
      </w:r>
      <w:r w:rsidR="005D0160">
        <w:rPr>
          <w:sz w:val="24"/>
        </w:rPr>
        <w:t>,</w:t>
      </w:r>
      <w:r>
        <w:rPr>
          <w:sz w:val="24"/>
        </w:rPr>
        <w:t xml:space="preserve"> Bradford District</w:t>
      </w:r>
      <w:r w:rsidR="0079740B">
        <w:rPr>
          <w:sz w:val="24"/>
        </w:rPr>
        <w:t xml:space="preserve"> Care</w:t>
      </w:r>
      <w:r>
        <w:rPr>
          <w:sz w:val="24"/>
        </w:rPr>
        <w:t xml:space="preserve"> NHS Foundation Trust</w:t>
      </w:r>
    </w:p>
    <w:p w14:paraId="31CDE099" w14:textId="3716CBC3" w:rsidR="005160BF" w:rsidRPr="00B137B7" w:rsidRDefault="005160BF" w:rsidP="005160BF">
      <w:pPr>
        <w:pStyle w:val="Heading3"/>
        <w:spacing w:line="360" w:lineRule="auto"/>
        <w:rPr>
          <w:rFonts w:cstheme="majorHAnsi"/>
          <w:sz w:val="24"/>
        </w:rPr>
      </w:pPr>
      <w:r w:rsidRPr="002E4223">
        <w:rPr>
          <w:rFonts w:cstheme="majorHAnsi"/>
          <w:sz w:val="24"/>
          <w:lang w:val="en-US"/>
        </w:rPr>
        <w:t>Jacqui Hooley</w:t>
      </w:r>
      <w:r w:rsidR="005D0160">
        <w:rPr>
          <w:rFonts w:cstheme="majorHAnsi"/>
          <w:sz w:val="24"/>
          <w:lang w:val="en-US"/>
        </w:rPr>
        <w:t>,</w:t>
      </w:r>
      <w:r w:rsidRPr="002E4223">
        <w:rPr>
          <w:rFonts w:cstheme="majorHAnsi"/>
          <w:sz w:val="24"/>
          <w:lang w:val="en-US"/>
        </w:rPr>
        <w:t xml:space="preserve"> </w:t>
      </w:r>
      <w:r w:rsidRPr="002E4223">
        <w:rPr>
          <w:rFonts w:cstheme="majorHAnsi"/>
          <w:sz w:val="24"/>
        </w:rPr>
        <w:t>Principal Social Worke</w:t>
      </w:r>
      <w:r w:rsidRPr="00B137B7">
        <w:rPr>
          <w:rFonts w:cstheme="majorHAnsi"/>
          <w:sz w:val="24"/>
        </w:rPr>
        <w:t>r</w:t>
      </w:r>
      <w:r w:rsidR="005D0160">
        <w:rPr>
          <w:rFonts w:cstheme="majorHAnsi"/>
          <w:sz w:val="24"/>
        </w:rPr>
        <w:t>,</w:t>
      </w:r>
      <w:r>
        <w:rPr>
          <w:rFonts w:cstheme="majorHAnsi"/>
          <w:sz w:val="24"/>
        </w:rPr>
        <w:t xml:space="preserve"> Bradford District</w:t>
      </w:r>
      <w:r w:rsidR="0079740B">
        <w:rPr>
          <w:rFonts w:cstheme="majorHAnsi"/>
          <w:sz w:val="24"/>
        </w:rPr>
        <w:t xml:space="preserve"> Care</w:t>
      </w:r>
      <w:r>
        <w:rPr>
          <w:rFonts w:cstheme="majorHAnsi"/>
          <w:sz w:val="24"/>
        </w:rPr>
        <w:t xml:space="preserve"> NHS Foundation Trust</w:t>
      </w:r>
    </w:p>
    <w:p w14:paraId="422E1C8F" w14:textId="0F7544C3" w:rsidR="005160BF" w:rsidRPr="00B137B7" w:rsidRDefault="005160BF" w:rsidP="005160BF">
      <w:pPr>
        <w:spacing w:line="360" w:lineRule="auto"/>
        <w:rPr>
          <w:rFonts w:asciiTheme="majorHAnsi" w:hAnsiTheme="majorHAnsi" w:cstheme="majorHAnsi"/>
          <w:b/>
          <w:bCs/>
        </w:rPr>
      </w:pPr>
      <w:r w:rsidRPr="00B137B7">
        <w:rPr>
          <w:rFonts w:asciiTheme="majorHAnsi" w:hAnsiTheme="majorHAnsi" w:cstheme="majorHAnsi"/>
          <w:b/>
          <w:bCs/>
        </w:rPr>
        <w:t>Hisham Almahayni</w:t>
      </w:r>
      <w:r w:rsidR="005D0160">
        <w:rPr>
          <w:rFonts w:asciiTheme="majorHAnsi" w:hAnsiTheme="majorHAnsi" w:cstheme="majorHAnsi"/>
          <w:b/>
          <w:bCs/>
        </w:rPr>
        <w:t>,</w:t>
      </w:r>
      <w:r w:rsidRPr="00B137B7">
        <w:rPr>
          <w:rFonts w:asciiTheme="majorHAnsi" w:hAnsiTheme="majorHAnsi" w:cstheme="majorHAnsi"/>
          <w:b/>
          <w:bCs/>
        </w:rPr>
        <w:t xml:space="preserve"> Senior Service Manager</w:t>
      </w:r>
      <w:r w:rsidR="005D0160">
        <w:rPr>
          <w:rFonts w:asciiTheme="majorHAnsi" w:hAnsiTheme="majorHAnsi" w:cstheme="majorHAnsi"/>
          <w:b/>
          <w:bCs/>
        </w:rPr>
        <w:t>,</w:t>
      </w:r>
      <w:r>
        <w:rPr>
          <w:rFonts w:asciiTheme="majorHAnsi" w:hAnsiTheme="majorHAnsi" w:cstheme="majorHAnsi"/>
          <w:b/>
          <w:bCs/>
        </w:rPr>
        <w:t xml:space="preserve"> Bradford District and Craven Mind</w:t>
      </w:r>
    </w:p>
    <w:p w14:paraId="7E0A5EA8" w14:textId="76858A69" w:rsidR="005160BF" w:rsidRPr="002E4223" w:rsidRDefault="005160BF" w:rsidP="005160BF">
      <w:pPr>
        <w:spacing w:line="360" w:lineRule="auto"/>
        <w:rPr>
          <w:rFonts w:asciiTheme="majorHAnsi" w:hAnsiTheme="majorHAnsi" w:cstheme="majorHAnsi"/>
          <w:b/>
          <w:bCs/>
        </w:rPr>
      </w:pPr>
      <w:r w:rsidRPr="00B137B7">
        <w:rPr>
          <w:rFonts w:asciiTheme="majorHAnsi" w:hAnsiTheme="majorHAnsi" w:cstheme="majorHAnsi"/>
          <w:b/>
          <w:bCs/>
        </w:rPr>
        <w:t>Mehnaz Akhtar</w:t>
      </w:r>
      <w:r w:rsidR="005D0160">
        <w:rPr>
          <w:rFonts w:asciiTheme="majorHAnsi" w:hAnsiTheme="majorHAnsi" w:cstheme="majorHAnsi"/>
          <w:b/>
          <w:bCs/>
        </w:rPr>
        <w:t>,</w:t>
      </w:r>
      <w:r w:rsidRPr="00B137B7">
        <w:rPr>
          <w:rFonts w:asciiTheme="majorHAnsi" w:hAnsiTheme="majorHAnsi" w:cstheme="majorHAnsi"/>
          <w:b/>
          <w:bCs/>
        </w:rPr>
        <w:t xml:space="preserve"> Service Manager</w:t>
      </w:r>
      <w:r w:rsidR="005D0160">
        <w:rPr>
          <w:rFonts w:asciiTheme="majorHAnsi" w:hAnsiTheme="majorHAnsi" w:cstheme="majorHAnsi"/>
          <w:b/>
          <w:bCs/>
        </w:rPr>
        <w:t>,</w:t>
      </w:r>
      <w:r>
        <w:rPr>
          <w:rFonts w:asciiTheme="majorHAnsi" w:hAnsiTheme="majorHAnsi" w:cstheme="majorHAnsi"/>
          <w:b/>
          <w:bCs/>
        </w:rPr>
        <w:t xml:space="preserve"> Bradford District and Craven Mind</w:t>
      </w:r>
    </w:p>
    <w:p w14:paraId="7ABEBBC3" w14:textId="77777777" w:rsidR="00EF3A4D" w:rsidRDefault="00EF3A4D" w:rsidP="00E154EF"/>
    <w:p w14:paraId="6FBCC192" w14:textId="77777777" w:rsidR="00EF3A4D" w:rsidRDefault="00EF3A4D" w:rsidP="00E154EF"/>
    <w:p w14:paraId="3554C1C1" w14:textId="77777777" w:rsidR="00EF3A4D" w:rsidRDefault="00EF3A4D" w:rsidP="00E154EF"/>
    <w:p w14:paraId="1B17F9AC" w14:textId="77777777" w:rsidR="00EF3A4D" w:rsidRDefault="00EF3A4D" w:rsidP="00E154EF"/>
    <w:p w14:paraId="6FEE2C56" w14:textId="77777777" w:rsidR="00EF3A4D" w:rsidRDefault="00EF3A4D" w:rsidP="00E154EF"/>
    <w:p w14:paraId="54A90436" w14:textId="77777777" w:rsidR="00EF3A4D" w:rsidRDefault="00EF3A4D" w:rsidP="00E154EF"/>
    <w:p w14:paraId="4A6A2833" w14:textId="77777777" w:rsidR="00EF3A4D" w:rsidRDefault="00EF3A4D" w:rsidP="00E154EF"/>
    <w:p w14:paraId="241EB36C" w14:textId="77777777" w:rsidR="00EF3A4D" w:rsidRDefault="00EF3A4D" w:rsidP="00E154EF"/>
    <w:p w14:paraId="7D19D63C" w14:textId="77777777" w:rsidR="0079740B" w:rsidRDefault="0079740B" w:rsidP="00E154EF"/>
    <w:p w14:paraId="41E86136" w14:textId="77777777" w:rsidR="0079740B" w:rsidRDefault="0079740B" w:rsidP="00E154EF"/>
    <w:p w14:paraId="3ACD98F8" w14:textId="77777777" w:rsidR="0079740B" w:rsidRDefault="0079740B" w:rsidP="00E154EF"/>
    <w:p w14:paraId="47213E19" w14:textId="77777777" w:rsidR="0079740B" w:rsidRDefault="0079740B" w:rsidP="00E154EF"/>
    <w:p w14:paraId="0BEF1DB0" w14:textId="77777777" w:rsidR="0079740B" w:rsidRDefault="0079740B" w:rsidP="00E154EF"/>
    <w:p w14:paraId="53D5215F" w14:textId="77777777" w:rsidR="00EF3A4D" w:rsidRDefault="00EF3A4D" w:rsidP="00E154EF"/>
    <w:p w14:paraId="5083F928" w14:textId="77777777" w:rsidR="005160BF" w:rsidRDefault="005160BF" w:rsidP="002F498D"/>
    <w:p w14:paraId="4B0B1A6D" w14:textId="69084250" w:rsidR="005D0160" w:rsidRDefault="005D0160" w:rsidP="00ED0DD3">
      <w:pPr>
        <w:pStyle w:val="Heading2"/>
        <w:spacing w:line="360" w:lineRule="auto"/>
        <w:rPr>
          <w:color w:val="000000" w:themeColor="text1"/>
        </w:rPr>
      </w:pPr>
      <w:bookmarkStart w:id="2" w:name="_Toc176774269"/>
      <w:bookmarkStart w:id="3" w:name="_Toc176786875"/>
      <w:r w:rsidRPr="00C957B6">
        <w:rPr>
          <w:noProof/>
          <w:color w:val="000000" w:themeColor="text1"/>
        </w:rPr>
        <w:lastRenderedPageBreak/>
        <mc:AlternateContent>
          <mc:Choice Requires="wps">
            <w:drawing>
              <wp:inline distT="0" distB="0" distL="0" distR="0" wp14:anchorId="65050EB2" wp14:editId="14FAB8CE">
                <wp:extent cx="6762750" cy="2292350"/>
                <wp:effectExtent l="0" t="0" r="0" b="0"/>
                <wp:docPr id="1215228128" name="Rectangle: Rounded Corners 5"/>
                <wp:cNvGraphicFramePr/>
                <a:graphic xmlns:a="http://schemas.openxmlformats.org/drawingml/2006/main">
                  <a:graphicData uri="http://schemas.microsoft.com/office/word/2010/wordprocessingShape">
                    <wps:wsp>
                      <wps:cNvSpPr/>
                      <wps:spPr>
                        <a:xfrm>
                          <a:off x="0" y="0"/>
                          <a:ext cx="6762750" cy="2292350"/>
                        </a:xfrm>
                        <a:prstGeom prst="round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04B385" w14:textId="77777777" w:rsidR="00ED0DD3" w:rsidRPr="00C957B6" w:rsidRDefault="00ED0DD3" w:rsidP="00ED0DD3">
                            <w:pPr>
                              <w:pStyle w:val="Heading2"/>
                              <w:spacing w:line="360" w:lineRule="auto"/>
                              <w:rPr>
                                <w:color w:val="000000" w:themeColor="text1"/>
                              </w:rPr>
                            </w:pPr>
                            <w:r w:rsidRPr="00C957B6">
                              <w:rPr>
                                <w:color w:val="000000" w:themeColor="text1"/>
                              </w:rPr>
                              <w:t>Acknowledgements</w:t>
                            </w:r>
                          </w:p>
                          <w:p w14:paraId="0967AA98" w14:textId="77777777" w:rsidR="00ED0DD3" w:rsidRDefault="00ED0DD3" w:rsidP="00ED0DD3">
                            <w:pPr>
                              <w:spacing w:line="360" w:lineRule="auto"/>
                              <w:rPr>
                                <w:color w:val="000000" w:themeColor="text1"/>
                              </w:rPr>
                            </w:pPr>
                            <w:r w:rsidRPr="00C957B6">
                              <w:rPr>
                                <w:color w:val="000000" w:themeColor="text1"/>
                              </w:rPr>
                              <w:t>We would</w:t>
                            </w:r>
                            <w:r>
                              <w:rPr>
                                <w:color w:val="000000" w:themeColor="text1"/>
                              </w:rPr>
                              <w:t xml:space="preserve"> like to thank 15 patients who shared their experience with our team, staff at Bradford District and Craven Mind for their ongoing support with the pilot, our approval and evaluation team who have reviewed each application in addition to their usual roles, the ongoing support from the social worker development team and senior leaders across Healthy Minds priority, and across the mental health care group and our inpatient and community rehabilitation team. </w:t>
                            </w:r>
                          </w:p>
                          <w:p w14:paraId="3CA55D30" w14:textId="77777777" w:rsidR="00ED0DD3" w:rsidRDefault="00ED0DD3" w:rsidP="00ED0D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050EB2" id="Rectangle: Rounded Corners 5" o:spid="_x0000_s1026" style="width:532.5pt;height:18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" fillcolor="#ecc4dc [1941]" stroked="f" strokeweight="2pt">
                <v:textbox>
                  <w:txbxContent>
                    <w:p w14:paraId="0204B385" w14:textId="77777777" w:rsidR="00ED0DD3" w:rsidRPr="00C957B6" w:rsidRDefault="00ED0DD3" w:rsidP="00ED0DD3">
                      <w:pPr>
                        <w:pStyle w:val="Heading2"/>
                        <w:spacing w:line="360" w:lineRule="auto"/>
                        <w:rPr>
                          <w:color w:val="000000" w:themeColor="text1"/>
                        </w:rPr>
                      </w:pPr>
                      <w:r w:rsidRPr="00C957B6">
                        <w:rPr>
                          <w:color w:val="000000" w:themeColor="text1"/>
                        </w:rPr>
                        <w:t>Acknowledgements</w:t>
                      </w:r>
                    </w:p>
                    <w:p w14:paraId="0967AA98" w14:textId="77777777" w:rsidR="00ED0DD3" w:rsidRDefault="00ED0DD3" w:rsidP="00ED0DD3">
                      <w:pPr>
                        <w:spacing w:line="360" w:lineRule="auto"/>
                        <w:rPr>
                          <w:color w:val="000000" w:themeColor="text1"/>
                        </w:rPr>
                      </w:pPr>
                      <w:r w:rsidRPr="00C957B6">
                        <w:rPr>
                          <w:color w:val="000000" w:themeColor="text1"/>
                        </w:rPr>
                        <w:t>We would</w:t>
                      </w:r>
                      <w:r>
                        <w:rPr>
                          <w:color w:val="000000" w:themeColor="text1"/>
                        </w:rPr>
                        <w:t xml:space="preserve"> like to thank 15 patients who shared their experience with our team, staff at Bradford District and Craven Mind for their ongoing support with the pilot, our approval and evaluation team who have reviewed each application in addition to their usual roles, the ongoing support from the social worker development team and senior leaders across Healthy Minds priority, and across the mental health care group and our inpatient and community rehabilitation team. </w:t>
                      </w:r>
                    </w:p>
                    <w:p w14:paraId="3CA55D30" w14:textId="77777777" w:rsidR="00ED0DD3" w:rsidRDefault="00ED0DD3" w:rsidP="00ED0DD3">
                      <w:pPr>
                        <w:jc w:val="center"/>
                      </w:pPr>
                    </w:p>
                  </w:txbxContent>
                </v:textbox>
                <w10:anchorlock/>
              </v:roundrect>
            </w:pict>
          </mc:Fallback>
        </mc:AlternateContent>
      </w:r>
      <w:bookmarkEnd w:id="2"/>
      <w:bookmarkEnd w:id="3"/>
      <w:r w:rsidR="00747B41">
        <w:rPr>
          <w:color w:val="000000" w:themeColor="text1"/>
        </w:rPr>
        <w:t xml:space="preserve"> </w:t>
      </w:r>
    </w:p>
    <w:p w14:paraId="379AC68C" w14:textId="5C0F5199" w:rsidR="001D3C10" w:rsidRPr="002F498D" w:rsidRDefault="001D3C10" w:rsidP="002F498D"/>
    <w:sdt>
      <w:sdtPr>
        <w:rPr>
          <w:rFonts w:ascii="Arial" w:eastAsia="Times New Roman" w:hAnsi="Arial" w:cs="Times New Roman"/>
          <w:b w:val="0"/>
          <w:bCs w:val="0"/>
          <w:color w:val="auto"/>
          <w:sz w:val="24"/>
          <w:szCs w:val="24"/>
          <w:lang w:val="en-GB" w:eastAsia="en-GB"/>
        </w:rPr>
        <w:id w:val="-186296955"/>
        <w:docPartObj>
          <w:docPartGallery w:val="Table of Contents"/>
          <w:docPartUnique/>
        </w:docPartObj>
      </w:sdtPr>
      <w:sdtEndPr/>
      <w:sdtContent>
        <w:p w14:paraId="184E0C76" w14:textId="6DD62419" w:rsidR="00BA226A" w:rsidRPr="00B404A9" w:rsidRDefault="00BA226A" w:rsidP="00B404A9">
          <w:pPr>
            <w:pStyle w:val="TOCHeading"/>
            <w:spacing w:line="360" w:lineRule="auto"/>
            <w:rPr>
              <w:color w:val="44257D"/>
            </w:rPr>
          </w:pPr>
          <w:r w:rsidRPr="00B404A9">
            <w:rPr>
              <w:color w:val="44257D"/>
            </w:rPr>
            <w:t>Table of Contents</w:t>
          </w:r>
        </w:p>
        <w:p w14:paraId="0540CDC8" w14:textId="6E577575" w:rsidR="00BA226A" w:rsidRPr="00F347D3" w:rsidRDefault="00BA226A" w:rsidP="00B404A9">
          <w:pPr>
            <w:pStyle w:val="TOC1"/>
            <w:spacing w:line="360" w:lineRule="auto"/>
          </w:pPr>
          <w:r w:rsidRPr="00F347D3">
            <w:t>Key evaluation finding</w:t>
          </w:r>
          <w:r w:rsidR="00F347D3">
            <w:t xml:space="preserve">s </w:t>
          </w:r>
          <w:r w:rsidRPr="00F347D3">
            <w:ptab w:relativeTo="margin" w:alignment="right" w:leader="dot"/>
          </w:r>
          <w:r w:rsidRPr="00F347D3">
            <w:t>3</w:t>
          </w:r>
        </w:p>
        <w:p w14:paraId="22232D00" w14:textId="0D067E5E" w:rsidR="00BA226A" w:rsidRPr="00F347D3" w:rsidRDefault="00F347D3" w:rsidP="00B404A9">
          <w:pPr>
            <w:pStyle w:val="TOC2"/>
            <w:spacing w:line="360" w:lineRule="auto"/>
            <w:ind w:left="0"/>
          </w:pPr>
          <w:r>
            <w:t xml:space="preserve">Introduction and scene setting </w:t>
          </w:r>
          <w:r w:rsidR="00BA226A" w:rsidRPr="00F347D3">
            <w:ptab w:relativeTo="margin" w:alignment="right" w:leader="dot"/>
          </w:r>
          <w:r>
            <w:t>5</w:t>
          </w:r>
        </w:p>
        <w:p w14:paraId="5818AC11" w14:textId="30004FA0" w:rsidR="00F347D3" w:rsidRPr="00F347D3" w:rsidRDefault="00F347D3" w:rsidP="00B404A9">
          <w:pPr>
            <w:pStyle w:val="TOC3"/>
            <w:spacing w:line="360" w:lineRule="auto"/>
            <w:ind w:left="0"/>
          </w:pPr>
          <w:r>
            <w:t xml:space="preserve">Overall findings and summary </w:t>
          </w:r>
          <w:r w:rsidR="00BA226A" w:rsidRPr="00F347D3">
            <w:ptab w:relativeTo="margin" w:alignment="right" w:leader="dot"/>
          </w:r>
          <w:r>
            <w:t>8</w:t>
          </w:r>
        </w:p>
        <w:p w14:paraId="2F163D17" w14:textId="7B4F15B2" w:rsidR="00BA226A" w:rsidRPr="00F347D3" w:rsidRDefault="002B7A43" w:rsidP="00B404A9">
          <w:pPr>
            <w:pStyle w:val="TOC1"/>
            <w:spacing w:line="360" w:lineRule="auto"/>
          </w:pPr>
          <w:r>
            <w:t>Summary</w:t>
          </w:r>
          <w:r w:rsidR="00BA226A" w:rsidRPr="00F347D3">
            <w:ptab w:relativeTo="margin" w:alignment="right" w:leader="dot"/>
          </w:r>
          <w:r>
            <w:t>20</w:t>
          </w:r>
        </w:p>
        <w:p w14:paraId="402EA333" w14:textId="6EA72357" w:rsidR="00BA226A" w:rsidRDefault="00A37A9B" w:rsidP="002B7A43">
          <w:pPr>
            <w:pStyle w:val="TOC3"/>
            <w:ind w:left="0"/>
          </w:pPr>
        </w:p>
      </w:sdtContent>
    </w:sdt>
    <w:p w14:paraId="2B99B655" w14:textId="77777777" w:rsidR="00BA226A" w:rsidRDefault="00BA226A" w:rsidP="002F498D">
      <w:pPr>
        <w:pStyle w:val="Heading2"/>
        <w:spacing w:line="360" w:lineRule="auto"/>
      </w:pPr>
    </w:p>
    <w:p w14:paraId="3CDD7586" w14:textId="77777777" w:rsidR="00BA226A" w:rsidRDefault="00BA226A" w:rsidP="002F498D">
      <w:pPr>
        <w:pStyle w:val="Heading2"/>
        <w:spacing w:line="360" w:lineRule="auto"/>
      </w:pPr>
    </w:p>
    <w:p w14:paraId="6A0F7CA1" w14:textId="2E17362E" w:rsidR="00BA226A" w:rsidRDefault="000148B9" w:rsidP="000148B9">
      <w:pPr>
        <w:pStyle w:val="Heading2"/>
        <w:tabs>
          <w:tab w:val="left" w:pos="2193"/>
        </w:tabs>
        <w:spacing w:line="360" w:lineRule="auto"/>
      </w:pPr>
      <w:r>
        <w:tab/>
      </w:r>
    </w:p>
    <w:p w14:paraId="003402F3" w14:textId="77777777" w:rsidR="00BA226A" w:rsidRDefault="00BA226A" w:rsidP="00BA226A"/>
    <w:p w14:paraId="5117EA60" w14:textId="77777777" w:rsidR="00BA226A" w:rsidRDefault="00BA226A" w:rsidP="00BA226A"/>
    <w:p w14:paraId="05CA4FB1" w14:textId="77777777" w:rsidR="0079740B" w:rsidRDefault="0079740B" w:rsidP="00BA226A"/>
    <w:p w14:paraId="685585F6" w14:textId="77777777" w:rsidR="00BA226A" w:rsidRDefault="00BA226A" w:rsidP="00BA226A"/>
    <w:p w14:paraId="29790A56" w14:textId="77777777" w:rsidR="00BA226A" w:rsidRDefault="00BA226A" w:rsidP="00BA226A"/>
    <w:p w14:paraId="2769BFBC" w14:textId="77777777" w:rsidR="00BA226A" w:rsidRPr="00BA226A" w:rsidRDefault="00BA226A" w:rsidP="00BA226A"/>
    <w:p w14:paraId="30AB6FE9" w14:textId="77777777" w:rsidR="00BA226A" w:rsidRDefault="00BA226A" w:rsidP="002F498D">
      <w:pPr>
        <w:pStyle w:val="Heading2"/>
        <w:spacing w:line="360" w:lineRule="auto"/>
      </w:pPr>
    </w:p>
    <w:p w14:paraId="20F57F7B" w14:textId="77777777" w:rsidR="00BA226A" w:rsidRPr="00BA226A" w:rsidRDefault="00BA226A" w:rsidP="00BA226A"/>
    <w:p w14:paraId="3A8A3C4A" w14:textId="4AD04209" w:rsidR="002F498D" w:rsidRPr="00B404A9" w:rsidRDefault="002F498D" w:rsidP="002F498D">
      <w:pPr>
        <w:pStyle w:val="Heading2"/>
        <w:spacing w:line="360" w:lineRule="auto"/>
        <w:rPr>
          <w:color w:val="44257D"/>
        </w:rPr>
      </w:pPr>
      <w:r w:rsidRPr="00B404A9">
        <w:rPr>
          <w:color w:val="44257D"/>
        </w:rPr>
        <w:t>Key evaluation findings</w:t>
      </w:r>
    </w:p>
    <w:p w14:paraId="6437B78D" w14:textId="6361B234" w:rsidR="002F498D" w:rsidRDefault="002F498D" w:rsidP="002F498D">
      <w:pPr>
        <w:spacing w:line="360" w:lineRule="auto"/>
      </w:pPr>
      <w:r>
        <w:t xml:space="preserve">We have broken down our key findings into three </w:t>
      </w:r>
      <w:r w:rsidR="00565C64">
        <w:t>area</w:t>
      </w:r>
      <w:r w:rsidR="00747B41">
        <w:t>s:</w:t>
      </w:r>
    </w:p>
    <w:p w14:paraId="48897FCD" w14:textId="77777777" w:rsidR="002F498D" w:rsidRDefault="002F498D" w:rsidP="002F498D">
      <w:pPr>
        <w:pStyle w:val="ListParagraph"/>
        <w:numPr>
          <w:ilvl w:val="0"/>
          <w:numId w:val="31"/>
        </w:numPr>
        <w:spacing w:line="360" w:lineRule="auto"/>
      </w:pPr>
      <w:r>
        <w:t>People who have accessed personal health budgets for mental health</w:t>
      </w:r>
    </w:p>
    <w:p w14:paraId="5DF8C4AC" w14:textId="03038F4C" w:rsidR="002F498D" w:rsidRDefault="002F498D" w:rsidP="002F498D">
      <w:pPr>
        <w:pStyle w:val="ListParagraph"/>
        <w:numPr>
          <w:ilvl w:val="0"/>
          <w:numId w:val="31"/>
        </w:numPr>
        <w:spacing w:line="360" w:lineRule="auto"/>
      </w:pPr>
      <w:r>
        <w:t>B</w:t>
      </w:r>
      <w:r w:rsidR="00747B41">
        <w:t>radford District Care NHS Foundation Trust w</w:t>
      </w:r>
      <w:r>
        <w:t>orkforce</w:t>
      </w:r>
    </w:p>
    <w:p w14:paraId="2B9DD539" w14:textId="35C6BD99" w:rsidR="002F498D" w:rsidRDefault="002F498D" w:rsidP="002F498D">
      <w:pPr>
        <w:pStyle w:val="ListParagraph"/>
        <w:numPr>
          <w:ilvl w:val="0"/>
          <w:numId w:val="31"/>
        </w:numPr>
        <w:spacing w:line="360" w:lineRule="auto"/>
      </w:pPr>
      <w:r>
        <w:t xml:space="preserve">System </w:t>
      </w:r>
      <w:r w:rsidR="00747B41">
        <w:t>p</w:t>
      </w:r>
      <w:r>
        <w:t>artners</w:t>
      </w:r>
    </w:p>
    <w:p w14:paraId="1E4A88FF" w14:textId="54908035" w:rsidR="00DA0C1C" w:rsidRPr="00572175" w:rsidRDefault="00DA0C1C" w:rsidP="00DA0C1C">
      <w:pPr>
        <w:spacing w:line="360" w:lineRule="auto"/>
      </w:pPr>
      <w:r>
        <w:t xml:space="preserve">We have also provided an overview summary of key information </w:t>
      </w:r>
      <w:r w:rsidR="00D4219A">
        <w:t>and findings.</w:t>
      </w:r>
    </w:p>
    <w:p w14:paraId="6109C445" w14:textId="6506D58E" w:rsidR="002F498D" w:rsidRPr="00B404A9" w:rsidRDefault="002F498D" w:rsidP="002F498D">
      <w:pPr>
        <w:pStyle w:val="Heading2"/>
        <w:spacing w:line="360" w:lineRule="auto"/>
        <w:rPr>
          <w:color w:val="44257D"/>
          <w:sz w:val="28"/>
          <w:szCs w:val="28"/>
        </w:rPr>
      </w:pPr>
      <w:bookmarkStart w:id="4" w:name="_Toc178960566"/>
      <w:r w:rsidRPr="00B404A9">
        <w:rPr>
          <w:color w:val="44257D"/>
          <w:sz w:val="28"/>
          <w:szCs w:val="28"/>
        </w:rPr>
        <w:t xml:space="preserve">People with </w:t>
      </w:r>
      <w:r w:rsidR="00747B41">
        <w:rPr>
          <w:color w:val="44257D"/>
          <w:sz w:val="28"/>
          <w:szCs w:val="28"/>
        </w:rPr>
        <w:t>m</w:t>
      </w:r>
      <w:r w:rsidRPr="00B404A9">
        <w:rPr>
          <w:color w:val="44257D"/>
          <w:sz w:val="28"/>
          <w:szCs w:val="28"/>
        </w:rPr>
        <w:t xml:space="preserve">ental </w:t>
      </w:r>
      <w:r w:rsidR="00747B41">
        <w:rPr>
          <w:color w:val="44257D"/>
          <w:sz w:val="28"/>
          <w:szCs w:val="28"/>
        </w:rPr>
        <w:t>h</w:t>
      </w:r>
      <w:r w:rsidRPr="00B404A9">
        <w:rPr>
          <w:color w:val="44257D"/>
          <w:sz w:val="28"/>
          <w:szCs w:val="28"/>
        </w:rPr>
        <w:t xml:space="preserve">ealth </w:t>
      </w:r>
      <w:r w:rsidR="00747B41">
        <w:rPr>
          <w:color w:val="44257D"/>
          <w:sz w:val="28"/>
          <w:szCs w:val="28"/>
        </w:rPr>
        <w:t>p</w:t>
      </w:r>
      <w:r w:rsidRPr="00B404A9">
        <w:rPr>
          <w:color w:val="44257D"/>
          <w:sz w:val="28"/>
          <w:szCs w:val="28"/>
        </w:rPr>
        <w:t xml:space="preserve">ersonal </w:t>
      </w:r>
      <w:r w:rsidR="00747B41">
        <w:rPr>
          <w:color w:val="44257D"/>
          <w:sz w:val="28"/>
          <w:szCs w:val="28"/>
        </w:rPr>
        <w:t>h</w:t>
      </w:r>
      <w:r w:rsidRPr="00B404A9">
        <w:rPr>
          <w:color w:val="44257D"/>
          <w:sz w:val="28"/>
          <w:szCs w:val="28"/>
        </w:rPr>
        <w:t xml:space="preserve">ealth </w:t>
      </w:r>
      <w:r w:rsidR="00747B41">
        <w:rPr>
          <w:color w:val="44257D"/>
          <w:sz w:val="28"/>
          <w:szCs w:val="28"/>
        </w:rPr>
        <w:t>b</w:t>
      </w:r>
      <w:r w:rsidRPr="00B404A9">
        <w:rPr>
          <w:color w:val="44257D"/>
          <w:sz w:val="28"/>
          <w:szCs w:val="28"/>
        </w:rPr>
        <w:t>udgets (PHB’s)</w:t>
      </w:r>
      <w:bookmarkEnd w:id="4"/>
    </w:p>
    <w:p w14:paraId="4EBB7FBB" w14:textId="77777777" w:rsidR="002F498D" w:rsidRDefault="002F498D" w:rsidP="002F498D">
      <w:pPr>
        <w:pStyle w:val="ListParagraph"/>
        <w:numPr>
          <w:ilvl w:val="0"/>
          <w:numId w:val="32"/>
        </w:numPr>
        <w:spacing w:line="360" w:lineRule="auto"/>
      </w:pPr>
      <w:r>
        <w:t>Most people who have accessed a PHB report that it had a positive effect on their mental and physical health and wellbeing.</w:t>
      </w:r>
    </w:p>
    <w:p w14:paraId="0A1FFBA8" w14:textId="4682A048" w:rsidR="002F498D" w:rsidRDefault="002F498D" w:rsidP="002F498D">
      <w:pPr>
        <w:pStyle w:val="ListParagraph"/>
        <w:numPr>
          <w:ilvl w:val="0"/>
          <w:numId w:val="32"/>
        </w:numPr>
        <w:spacing w:line="360" w:lineRule="auto"/>
      </w:pPr>
      <w:r>
        <w:t xml:space="preserve">Self-reported outcomes include increases across </w:t>
      </w:r>
      <w:r w:rsidR="00747B41">
        <w:t>six</w:t>
      </w:r>
      <w:r>
        <w:t xml:space="preserve"> key social </w:t>
      </w:r>
      <w:r w:rsidR="00565C64">
        <w:t>area</w:t>
      </w:r>
      <w:r w:rsidR="00747B41">
        <w:t>s:</w:t>
      </w:r>
    </w:p>
    <w:p w14:paraId="080623E4" w14:textId="77777777" w:rsidR="002F498D" w:rsidRDefault="002F498D" w:rsidP="002F498D">
      <w:pPr>
        <w:pStyle w:val="ListParagraph"/>
        <w:numPr>
          <w:ilvl w:val="1"/>
          <w:numId w:val="32"/>
        </w:numPr>
        <w:spacing w:line="360" w:lineRule="auto"/>
      </w:pPr>
      <w:r>
        <w:t>Activity</w:t>
      </w:r>
    </w:p>
    <w:p w14:paraId="6E9B9CB8" w14:textId="77777777" w:rsidR="002F498D" w:rsidRDefault="002F498D" w:rsidP="002F498D">
      <w:pPr>
        <w:pStyle w:val="ListParagraph"/>
        <w:numPr>
          <w:ilvl w:val="1"/>
          <w:numId w:val="32"/>
        </w:numPr>
        <w:spacing w:line="360" w:lineRule="auto"/>
      </w:pPr>
      <w:r>
        <w:t>Belonging</w:t>
      </w:r>
    </w:p>
    <w:p w14:paraId="62D83634" w14:textId="77777777" w:rsidR="002F498D" w:rsidRDefault="002F498D" w:rsidP="002F498D">
      <w:pPr>
        <w:pStyle w:val="ListParagraph"/>
        <w:numPr>
          <w:ilvl w:val="1"/>
          <w:numId w:val="32"/>
        </w:numPr>
        <w:spacing w:line="360" w:lineRule="auto"/>
      </w:pPr>
      <w:r>
        <w:t>Choice</w:t>
      </w:r>
    </w:p>
    <w:p w14:paraId="1BA4505E" w14:textId="77777777" w:rsidR="002F498D" w:rsidRDefault="002F498D" w:rsidP="002F498D">
      <w:pPr>
        <w:pStyle w:val="ListParagraph"/>
        <w:numPr>
          <w:ilvl w:val="1"/>
          <w:numId w:val="32"/>
        </w:numPr>
        <w:spacing w:line="360" w:lineRule="auto"/>
      </w:pPr>
      <w:r>
        <w:t>Hope</w:t>
      </w:r>
    </w:p>
    <w:p w14:paraId="09ABFA12" w14:textId="3D622443" w:rsidR="002F498D" w:rsidRDefault="00C05FD9" w:rsidP="002F498D">
      <w:pPr>
        <w:pStyle w:val="ListParagraph"/>
        <w:numPr>
          <w:ilvl w:val="1"/>
          <w:numId w:val="32"/>
        </w:numPr>
        <w:spacing w:line="360" w:lineRule="auto"/>
      </w:pPr>
      <w:r>
        <w:t>Self-perception</w:t>
      </w:r>
    </w:p>
    <w:p w14:paraId="25A548CD" w14:textId="3EE38F72" w:rsidR="002F498D" w:rsidRPr="001A2A17" w:rsidRDefault="002F498D" w:rsidP="002F498D">
      <w:pPr>
        <w:pStyle w:val="ListParagraph"/>
        <w:numPr>
          <w:ilvl w:val="1"/>
          <w:numId w:val="32"/>
        </w:numPr>
        <w:spacing w:line="360" w:lineRule="auto"/>
      </w:pPr>
      <w:r>
        <w:t>Well</w:t>
      </w:r>
      <w:r w:rsidR="00C05FD9">
        <w:t>b</w:t>
      </w:r>
      <w:r>
        <w:t>eing</w:t>
      </w:r>
    </w:p>
    <w:p w14:paraId="50E6A628" w14:textId="77777777" w:rsidR="002F498D" w:rsidRDefault="002F498D" w:rsidP="002F498D">
      <w:pPr>
        <w:pStyle w:val="NormalWeb"/>
        <w:numPr>
          <w:ilvl w:val="0"/>
          <w:numId w:val="33"/>
        </w:numPr>
        <w:shd w:val="clear" w:color="auto" w:fill="FFFFFF"/>
        <w:spacing w:line="360" w:lineRule="auto"/>
        <w:rPr>
          <w:rFonts w:asciiTheme="minorHAnsi" w:hAnsiTheme="minorHAnsi" w:cstheme="minorHAnsi"/>
        </w:rPr>
      </w:pPr>
      <w:r w:rsidRPr="000C73D8">
        <w:rPr>
          <w:rFonts w:asciiTheme="minorHAnsi" w:hAnsiTheme="minorHAnsi" w:cstheme="minorHAnsi"/>
        </w:rPr>
        <w:t xml:space="preserve">People </w:t>
      </w:r>
      <w:r>
        <w:rPr>
          <w:rFonts w:asciiTheme="minorHAnsi" w:hAnsiTheme="minorHAnsi" w:cstheme="minorHAnsi"/>
        </w:rPr>
        <w:t>explained that while staff may not have been fully aware of the PHB journey at the point of completing the application, the process was simple and throughout the journey people were able to answer their questions.</w:t>
      </w:r>
      <w:r w:rsidRPr="000C73D8">
        <w:rPr>
          <w:rFonts w:asciiTheme="minorHAnsi" w:hAnsiTheme="minorHAnsi" w:cstheme="minorHAnsi"/>
        </w:rPr>
        <w:t xml:space="preserve"> </w:t>
      </w:r>
    </w:p>
    <w:p w14:paraId="3B812386" w14:textId="603BCA69" w:rsidR="002F498D" w:rsidRDefault="002F498D" w:rsidP="002F498D">
      <w:pPr>
        <w:pStyle w:val="NormalWeb"/>
        <w:numPr>
          <w:ilvl w:val="0"/>
          <w:numId w:val="33"/>
        </w:numPr>
        <w:shd w:val="clear" w:color="auto" w:fill="FFFFFF"/>
        <w:spacing w:line="360" w:lineRule="auto"/>
        <w:rPr>
          <w:rFonts w:asciiTheme="minorHAnsi" w:hAnsiTheme="minorHAnsi" w:cstheme="minorHAnsi"/>
        </w:rPr>
      </w:pPr>
      <w:r>
        <w:rPr>
          <w:rFonts w:asciiTheme="minorHAnsi" w:hAnsiTheme="minorHAnsi" w:cstheme="minorHAnsi"/>
        </w:rPr>
        <w:t xml:space="preserve">There were signs of increased positivity, engagement, </w:t>
      </w:r>
      <w:proofErr w:type="gramStart"/>
      <w:r>
        <w:rPr>
          <w:rFonts w:asciiTheme="minorHAnsi" w:hAnsiTheme="minorHAnsi" w:cstheme="minorHAnsi"/>
        </w:rPr>
        <w:t>trust</w:t>
      </w:r>
      <w:proofErr w:type="gramEnd"/>
      <w:r>
        <w:rPr>
          <w:rFonts w:asciiTheme="minorHAnsi" w:hAnsiTheme="minorHAnsi" w:cstheme="minorHAnsi"/>
        </w:rPr>
        <w:t xml:space="preserve"> and hope among those who previously</w:t>
      </w:r>
      <w:r w:rsidR="00561104">
        <w:rPr>
          <w:rFonts w:asciiTheme="minorHAnsi" w:hAnsiTheme="minorHAnsi" w:cstheme="minorHAnsi"/>
        </w:rPr>
        <w:t xml:space="preserve"> identified as</w:t>
      </w:r>
      <w:r>
        <w:rPr>
          <w:rFonts w:asciiTheme="minorHAnsi" w:hAnsiTheme="minorHAnsi" w:cstheme="minorHAnsi"/>
        </w:rPr>
        <w:t xml:space="preserve"> </w:t>
      </w:r>
      <w:r w:rsidR="006F5AE0">
        <w:rPr>
          <w:rFonts w:asciiTheme="minorHAnsi" w:hAnsiTheme="minorHAnsi" w:cstheme="minorHAnsi"/>
        </w:rPr>
        <w:t>difficult to engage or had repeated admissions.</w:t>
      </w:r>
      <w:r>
        <w:rPr>
          <w:rFonts w:asciiTheme="minorHAnsi" w:hAnsiTheme="minorHAnsi" w:cstheme="minorHAnsi"/>
        </w:rPr>
        <w:t xml:space="preserve"> </w:t>
      </w:r>
    </w:p>
    <w:p w14:paraId="643CA119" w14:textId="77777777" w:rsidR="002F498D" w:rsidRDefault="002F498D" w:rsidP="002F498D">
      <w:pPr>
        <w:pStyle w:val="NormalWeb"/>
        <w:numPr>
          <w:ilvl w:val="0"/>
          <w:numId w:val="33"/>
        </w:numPr>
        <w:shd w:val="clear" w:color="auto" w:fill="FFFFFF"/>
        <w:spacing w:line="360" w:lineRule="auto"/>
        <w:rPr>
          <w:rFonts w:asciiTheme="minorHAnsi" w:hAnsiTheme="minorHAnsi" w:cstheme="minorHAnsi"/>
        </w:rPr>
      </w:pPr>
      <w:r>
        <w:rPr>
          <w:rFonts w:asciiTheme="minorHAnsi" w:hAnsiTheme="minorHAnsi" w:cstheme="minorHAnsi"/>
        </w:rPr>
        <w:t>Some people reported how they were beginning to make future recovery goals and plans.</w:t>
      </w:r>
    </w:p>
    <w:p w14:paraId="75927642" w14:textId="77777777" w:rsidR="00F347D3" w:rsidRDefault="00F347D3" w:rsidP="00F347D3">
      <w:pPr>
        <w:pStyle w:val="NormalWeb"/>
        <w:shd w:val="clear" w:color="auto" w:fill="FFFFFF"/>
        <w:spacing w:line="360" w:lineRule="auto"/>
        <w:rPr>
          <w:rFonts w:asciiTheme="minorHAnsi" w:hAnsiTheme="minorHAnsi" w:cstheme="minorHAnsi"/>
        </w:rPr>
      </w:pPr>
    </w:p>
    <w:p w14:paraId="52C3B72F" w14:textId="77777777" w:rsidR="00F347D3" w:rsidRDefault="00F347D3" w:rsidP="00F347D3">
      <w:pPr>
        <w:pStyle w:val="NormalWeb"/>
        <w:shd w:val="clear" w:color="auto" w:fill="FFFFFF"/>
        <w:spacing w:line="360" w:lineRule="auto"/>
        <w:rPr>
          <w:rFonts w:asciiTheme="minorHAnsi" w:hAnsiTheme="minorHAnsi" w:cstheme="minorHAnsi"/>
        </w:rPr>
      </w:pPr>
    </w:p>
    <w:p w14:paraId="22B26F7C" w14:textId="77777777" w:rsidR="0079740B" w:rsidRDefault="0079740B" w:rsidP="00F347D3">
      <w:pPr>
        <w:pStyle w:val="NormalWeb"/>
        <w:shd w:val="clear" w:color="auto" w:fill="FFFFFF"/>
        <w:spacing w:line="360" w:lineRule="auto"/>
        <w:rPr>
          <w:rFonts w:asciiTheme="minorHAnsi" w:hAnsiTheme="minorHAnsi" w:cstheme="minorHAnsi"/>
        </w:rPr>
      </w:pPr>
    </w:p>
    <w:p w14:paraId="6A47BB27" w14:textId="77777777" w:rsidR="0079740B" w:rsidRDefault="0079740B" w:rsidP="00F347D3">
      <w:pPr>
        <w:pStyle w:val="NormalWeb"/>
        <w:shd w:val="clear" w:color="auto" w:fill="FFFFFF"/>
        <w:spacing w:line="360" w:lineRule="auto"/>
        <w:rPr>
          <w:rFonts w:asciiTheme="minorHAnsi" w:hAnsiTheme="minorHAnsi" w:cstheme="minorHAnsi"/>
        </w:rPr>
      </w:pPr>
    </w:p>
    <w:p w14:paraId="76000179" w14:textId="77777777" w:rsidR="00F347D3" w:rsidRPr="000C73D8" w:rsidRDefault="00F347D3" w:rsidP="00F347D3">
      <w:pPr>
        <w:pStyle w:val="NormalWeb"/>
        <w:shd w:val="clear" w:color="auto" w:fill="FFFFFF"/>
        <w:spacing w:line="360" w:lineRule="auto"/>
        <w:rPr>
          <w:rFonts w:asciiTheme="minorHAnsi" w:hAnsiTheme="minorHAnsi" w:cstheme="minorHAnsi"/>
        </w:rPr>
      </w:pPr>
    </w:p>
    <w:p w14:paraId="04FD189F" w14:textId="77777777" w:rsidR="002F498D" w:rsidRPr="00B404A9" w:rsidRDefault="002F498D" w:rsidP="002F498D">
      <w:pPr>
        <w:pStyle w:val="NormalWeb"/>
        <w:shd w:val="clear" w:color="auto" w:fill="FFFFFF"/>
        <w:spacing w:line="360" w:lineRule="auto"/>
        <w:ind w:left="360"/>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t>The workforce</w:t>
      </w:r>
      <w:r w:rsidRPr="00B404A9">
        <w:rPr>
          <w:rFonts w:asciiTheme="majorHAnsi" w:hAnsiTheme="majorHAnsi" w:cstheme="majorHAnsi"/>
          <w:b/>
          <w:bCs/>
          <w:color w:val="44257D"/>
          <w:sz w:val="28"/>
          <w:szCs w:val="28"/>
        </w:rPr>
        <w:tab/>
      </w:r>
    </w:p>
    <w:p w14:paraId="7CA64BBF" w14:textId="77777777" w:rsidR="002F498D" w:rsidRPr="00CB26B5" w:rsidRDefault="002F498D" w:rsidP="002F498D">
      <w:pPr>
        <w:pStyle w:val="NormalWeb"/>
        <w:numPr>
          <w:ilvl w:val="0"/>
          <w:numId w:val="34"/>
        </w:numPr>
        <w:shd w:val="clear" w:color="auto" w:fill="FFFFFF"/>
        <w:spacing w:line="360" w:lineRule="auto"/>
        <w:rPr>
          <w:rFonts w:asciiTheme="minorHAnsi" w:hAnsiTheme="minorHAnsi" w:cstheme="minorHAnsi"/>
        </w:rPr>
      </w:pPr>
      <w:r w:rsidRPr="00CB26B5">
        <w:rPr>
          <w:rFonts w:asciiTheme="minorHAnsi" w:hAnsiTheme="minorHAnsi" w:cstheme="minorHAnsi"/>
        </w:rPr>
        <w:t>Inpatient staff (those at Airedale Centre for Mental Health (ACMH) and Lynfield Mount Hospital (LMH) said they believe PHB’s are beneficial and can see the recovery potential of a PHB.</w:t>
      </w:r>
    </w:p>
    <w:p w14:paraId="12B4E33D" w14:textId="67970ECC" w:rsidR="002F498D" w:rsidRPr="00530D92" w:rsidRDefault="002F498D" w:rsidP="00530D92">
      <w:pPr>
        <w:pStyle w:val="NormalWeb"/>
        <w:numPr>
          <w:ilvl w:val="0"/>
          <w:numId w:val="34"/>
        </w:numPr>
        <w:shd w:val="clear" w:color="auto" w:fill="FFFFFF"/>
        <w:spacing w:line="360" w:lineRule="auto"/>
        <w:rPr>
          <w:rFonts w:asciiTheme="minorHAnsi" w:hAnsiTheme="minorHAnsi" w:cstheme="minorHAnsi"/>
        </w:rPr>
      </w:pPr>
      <w:r w:rsidRPr="00CB26B5">
        <w:rPr>
          <w:rFonts w:asciiTheme="minorHAnsi" w:hAnsiTheme="minorHAnsi" w:cstheme="minorHAnsi"/>
        </w:rPr>
        <w:t>Staff identified support from the Voluntary</w:t>
      </w:r>
      <w:r w:rsidR="002527EA">
        <w:rPr>
          <w:rFonts w:asciiTheme="minorHAnsi" w:hAnsiTheme="minorHAnsi" w:cstheme="minorHAnsi"/>
        </w:rPr>
        <w:t>,</w:t>
      </w:r>
      <w:r w:rsidRPr="00CB26B5">
        <w:rPr>
          <w:rFonts w:asciiTheme="minorHAnsi" w:hAnsiTheme="minorHAnsi" w:cstheme="minorHAnsi"/>
        </w:rPr>
        <w:t xml:space="preserve"> Community</w:t>
      </w:r>
      <w:r w:rsidR="002527EA">
        <w:rPr>
          <w:rFonts w:asciiTheme="minorHAnsi" w:hAnsiTheme="minorHAnsi" w:cstheme="minorHAnsi"/>
        </w:rPr>
        <w:t xml:space="preserve"> and Social Enterprise</w:t>
      </w:r>
      <w:r w:rsidRPr="00CB26B5">
        <w:rPr>
          <w:rFonts w:asciiTheme="minorHAnsi" w:hAnsiTheme="minorHAnsi" w:cstheme="minorHAnsi"/>
        </w:rPr>
        <w:t xml:space="preserve"> (VCS</w:t>
      </w:r>
      <w:r w:rsidR="002527EA">
        <w:rPr>
          <w:rFonts w:asciiTheme="minorHAnsi" w:hAnsiTheme="minorHAnsi" w:cstheme="minorHAnsi"/>
        </w:rPr>
        <w:t>E</w:t>
      </w:r>
      <w:r w:rsidRPr="00CB26B5">
        <w:rPr>
          <w:rFonts w:asciiTheme="minorHAnsi" w:hAnsiTheme="minorHAnsi" w:cstheme="minorHAnsi"/>
        </w:rPr>
        <w:t>) in t</w:t>
      </w:r>
      <w:r w:rsidR="00256E17">
        <w:rPr>
          <w:rFonts w:asciiTheme="minorHAnsi" w:hAnsiTheme="minorHAnsi" w:cstheme="minorHAnsi"/>
        </w:rPr>
        <w:t>he first</w:t>
      </w:r>
      <w:r w:rsidRPr="00CB26B5">
        <w:rPr>
          <w:rFonts w:asciiTheme="minorHAnsi" w:hAnsiTheme="minorHAnsi" w:cstheme="minorHAnsi"/>
        </w:rPr>
        <w:t xml:space="preserve"> instance</w:t>
      </w:r>
      <w:r w:rsidR="00256E17">
        <w:rPr>
          <w:rFonts w:asciiTheme="minorHAnsi" w:hAnsiTheme="minorHAnsi" w:cstheme="minorHAnsi"/>
        </w:rPr>
        <w:t xml:space="preserve">. </w:t>
      </w:r>
      <w:r w:rsidR="00530D92">
        <w:rPr>
          <w:rFonts w:asciiTheme="minorHAnsi" w:hAnsiTheme="minorHAnsi" w:cstheme="minorHAnsi"/>
        </w:rPr>
        <w:t>Bradford District and Craven Mind</w:t>
      </w:r>
      <w:r w:rsidRPr="00530D92">
        <w:rPr>
          <w:rFonts w:asciiTheme="minorHAnsi" w:hAnsiTheme="minorHAnsi" w:cstheme="minorHAnsi"/>
        </w:rPr>
        <w:t xml:space="preserve"> has been invaluable in supporting them on the wards, however noted capacity and workforce issues</w:t>
      </w:r>
      <w:r w:rsidR="00256E17">
        <w:rPr>
          <w:rFonts w:asciiTheme="minorHAnsi" w:hAnsiTheme="minorHAnsi" w:cstheme="minorHAnsi"/>
        </w:rPr>
        <w:t xml:space="preserve"> within the Trust</w:t>
      </w:r>
      <w:r w:rsidRPr="00530D92">
        <w:rPr>
          <w:rFonts w:asciiTheme="minorHAnsi" w:hAnsiTheme="minorHAnsi" w:cstheme="minorHAnsi"/>
        </w:rPr>
        <w:t xml:space="preserve"> often affect staff’s ability to discuss suitability for a PHB.</w:t>
      </w:r>
    </w:p>
    <w:p w14:paraId="407E5096" w14:textId="6CE9B457" w:rsidR="002F498D" w:rsidRDefault="002F498D" w:rsidP="002F498D">
      <w:pPr>
        <w:pStyle w:val="NormalWeb"/>
        <w:numPr>
          <w:ilvl w:val="0"/>
          <w:numId w:val="34"/>
        </w:numPr>
        <w:shd w:val="clear" w:color="auto" w:fill="FFFFFF"/>
        <w:spacing w:line="360" w:lineRule="auto"/>
        <w:rPr>
          <w:rFonts w:asciiTheme="minorHAnsi" w:hAnsiTheme="minorHAnsi" w:cstheme="minorHAnsi"/>
        </w:rPr>
      </w:pPr>
      <w:r>
        <w:rPr>
          <w:rFonts w:asciiTheme="minorHAnsi" w:hAnsiTheme="minorHAnsi" w:cstheme="minorHAnsi"/>
        </w:rPr>
        <w:t>Staff reported that it requires a new way of working, that was not always understood by leadership and needs further support</w:t>
      </w:r>
      <w:r w:rsidR="00E004E2">
        <w:rPr>
          <w:rFonts w:asciiTheme="minorHAnsi" w:hAnsiTheme="minorHAnsi" w:cstheme="minorHAnsi"/>
        </w:rPr>
        <w:t xml:space="preserve">, </w:t>
      </w:r>
      <w:proofErr w:type="gramStart"/>
      <w:r w:rsidR="00E004E2">
        <w:rPr>
          <w:rFonts w:asciiTheme="minorHAnsi" w:hAnsiTheme="minorHAnsi" w:cstheme="minorHAnsi"/>
        </w:rPr>
        <w:t>training</w:t>
      </w:r>
      <w:proofErr w:type="gramEnd"/>
      <w:r>
        <w:rPr>
          <w:rFonts w:asciiTheme="minorHAnsi" w:hAnsiTheme="minorHAnsi" w:cstheme="minorHAnsi"/>
        </w:rPr>
        <w:t xml:space="preserve"> and guidance to help staff implement consistently.</w:t>
      </w:r>
    </w:p>
    <w:p w14:paraId="48E65186" w14:textId="5859AB9E" w:rsidR="002F498D" w:rsidRPr="00CB26B5" w:rsidRDefault="002F498D" w:rsidP="002F498D">
      <w:pPr>
        <w:pStyle w:val="NormalWeb"/>
        <w:numPr>
          <w:ilvl w:val="0"/>
          <w:numId w:val="34"/>
        </w:numPr>
        <w:shd w:val="clear" w:color="auto" w:fill="FFFFFF"/>
        <w:spacing w:line="360" w:lineRule="auto"/>
        <w:rPr>
          <w:rFonts w:asciiTheme="minorHAnsi" w:hAnsiTheme="minorHAnsi" w:cstheme="minorHAnsi"/>
        </w:rPr>
      </w:pPr>
      <w:r>
        <w:rPr>
          <w:rFonts w:asciiTheme="minorHAnsi" w:hAnsiTheme="minorHAnsi" w:cstheme="minorHAnsi"/>
        </w:rPr>
        <w:t>Staff reported that the conversation was very simple and informative about what is important to the individual, it allowed them to understand the person as a whole.</w:t>
      </w:r>
    </w:p>
    <w:p w14:paraId="46D26303" w14:textId="77777777" w:rsidR="002F498D" w:rsidRPr="00B404A9" w:rsidRDefault="002F498D" w:rsidP="002F498D">
      <w:pPr>
        <w:pStyle w:val="NormalWeb"/>
        <w:shd w:val="clear" w:color="auto" w:fill="FFFFFF"/>
        <w:spacing w:line="360" w:lineRule="auto"/>
        <w:ind w:left="720"/>
        <w:rPr>
          <w:rFonts w:asciiTheme="majorHAnsi" w:hAnsiTheme="majorHAnsi" w:cstheme="majorHAnsi"/>
          <w:b/>
          <w:bCs/>
          <w:noProof/>
          <w:color w:val="44257D"/>
          <w:sz w:val="28"/>
          <w:szCs w:val="28"/>
        </w:rPr>
      </w:pPr>
      <w:r w:rsidRPr="00B404A9">
        <w:rPr>
          <w:rFonts w:asciiTheme="majorHAnsi" w:hAnsiTheme="majorHAnsi" w:cstheme="majorHAnsi"/>
          <w:b/>
          <w:bCs/>
          <w:noProof/>
          <w:color w:val="44257D"/>
          <w:sz w:val="28"/>
          <w:szCs w:val="28"/>
        </w:rPr>
        <w:t>The wider system</w:t>
      </w:r>
    </w:p>
    <w:p w14:paraId="102D420F" w14:textId="6FBB100C" w:rsidR="002F498D" w:rsidRPr="002B44A9" w:rsidRDefault="002F498D" w:rsidP="002F498D">
      <w:pPr>
        <w:pStyle w:val="NormalWeb"/>
        <w:numPr>
          <w:ilvl w:val="0"/>
          <w:numId w:val="34"/>
        </w:numPr>
        <w:shd w:val="clear" w:color="auto" w:fill="FFFFFF"/>
        <w:spacing w:line="360" w:lineRule="auto"/>
        <w:rPr>
          <w:rFonts w:asciiTheme="minorHAnsi" w:hAnsiTheme="minorHAnsi" w:cstheme="minorHAnsi"/>
        </w:rPr>
      </w:pPr>
      <w:r w:rsidRPr="002B44A9">
        <w:rPr>
          <w:rFonts w:asciiTheme="minorHAnsi" w:hAnsiTheme="minorHAnsi" w:cstheme="minorHAnsi"/>
        </w:rPr>
        <w:t xml:space="preserve">Mental health PHB’s are still not well known across </w:t>
      </w:r>
      <w:r w:rsidR="00E004E2">
        <w:rPr>
          <w:rFonts w:asciiTheme="minorHAnsi" w:hAnsiTheme="minorHAnsi" w:cstheme="minorHAnsi"/>
        </w:rPr>
        <w:t xml:space="preserve">inpatient </w:t>
      </w:r>
      <w:r w:rsidR="00DE527D">
        <w:rPr>
          <w:rFonts w:asciiTheme="minorHAnsi" w:hAnsiTheme="minorHAnsi" w:cstheme="minorHAnsi"/>
        </w:rPr>
        <w:t>and</w:t>
      </w:r>
      <w:r w:rsidRPr="002B44A9">
        <w:rPr>
          <w:rFonts w:asciiTheme="minorHAnsi" w:hAnsiTheme="minorHAnsi" w:cstheme="minorHAnsi"/>
        </w:rPr>
        <w:t xml:space="preserve"> community staff all of which are potential referrers</w:t>
      </w:r>
      <w:r w:rsidR="00DE527D">
        <w:rPr>
          <w:rFonts w:asciiTheme="minorHAnsi" w:hAnsiTheme="minorHAnsi" w:cstheme="minorHAnsi"/>
        </w:rPr>
        <w:t>.</w:t>
      </w:r>
      <w:r w:rsidRPr="002B44A9">
        <w:rPr>
          <w:rFonts w:asciiTheme="minorHAnsi" w:hAnsiTheme="minorHAnsi" w:cstheme="minorHAnsi"/>
        </w:rPr>
        <w:t xml:space="preserve"> </w:t>
      </w:r>
      <w:r w:rsidR="00DE527D">
        <w:rPr>
          <w:rFonts w:asciiTheme="minorHAnsi" w:hAnsiTheme="minorHAnsi" w:cstheme="minorHAnsi"/>
        </w:rPr>
        <w:t>T</w:t>
      </w:r>
      <w:r w:rsidRPr="002B44A9">
        <w:rPr>
          <w:rFonts w:asciiTheme="minorHAnsi" w:hAnsiTheme="minorHAnsi" w:cstheme="minorHAnsi"/>
        </w:rPr>
        <w:t>his creates a risk of them being unaware and people not being offered the opportunity of a PHB</w:t>
      </w:r>
      <w:r w:rsidR="00521517">
        <w:rPr>
          <w:rFonts w:asciiTheme="minorHAnsi" w:hAnsiTheme="minorHAnsi" w:cstheme="minorHAnsi"/>
        </w:rPr>
        <w:t xml:space="preserve"> affecting the equity of access and widening the gap instead of closing the gap o</w:t>
      </w:r>
      <w:r w:rsidR="009B132B">
        <w:rPr>
          <w:rFonts w:asciiTheme="minorHAnsi" w:hAnsiTheme="minorHAnsi" w:cstheme="minorHAnsi"/>
        </w:rPr>
        <w:t>f</w:t>
      </w:r>
      <w:r w:rsidR="00750208">
        <w:rPr>
          <w:rFonts w:asciiTheme="minorHAnsi" w:hAnsiTheme="minorHAnsi" w:cstheme="minorHAnsi"/>
        </w:rPr>
        <w:t xml:space="preserve"> social</w:t>
      </w:r>
      <w:r w:rsidR="00521517">
        <w:rPr>
          <w:rFonts w:asciiTheme="minorHAnsi" w:hAnsiTheme="minorHAnsi" w:cstheme="minorHAnsi"/>
        </w:rPr>
        <w:t xml:space="preserve"> inequalities</w:t>
      </w:r>
      <w:r w:rsidRPr="002B44A9">
        <w:rPr>
          <w:rFonts w:asciiTheme="minorHAnsi" w:hAnsiTheme="minorHAnsi" w:cstheme="minorHAnsi"/>
        </w:rPr>
        <w:t>.</w:t>
      </w:r>
    </w:p>
    <w:p w14:paraId="334BF65E" w14:textId="77777777" w:rsidR="002F498D" w:rsidRPr="002B44A9" w:rsidRDefault="002F498D" w:rsidP="002F498D">
      <w:pPr>
        <w:pStyle w:val="NormalWeb"/>
        <w:numPr>
          <w:ilvl w:val="0"/>
          <w:numId w:val="34"/>
        </w:numPr>
        <w:shd w:val="clear" w:color="auto" w:fill="FFFFFF"/>
        <w:spacing w:line="360" w:lineRule="auto"/>
        <w:rPr>
          <w:rFonts w:asciiTheme="minorHAnsi" w:hAnsiTheme="minorHAnsi" w:cstheme="minorHAnsi"/>
        </w:rPr>
      </w:pPr>
      <w:r w:rsidRPr="002B44A9">
        <w:rPr>
          <w:rFonts w:asciiTheme="minorHAnsi" w:hAnsiTheme="minorHAnsi" w:cstheme="minorHAnsi"/>
        </w:rPr>
        <w:t xml:space="preserve">Different approaches, staffing and processes across our inpatient and community services can cause concerns to effective PHB delivery and follow up. Flexibility, </w:t>
      </w:r>
      <w:proofErr w:type="gramStart"/>
      <w:r w:rsidRPr="002B44A9">
        <w:rPr>
          <w:rFonts w:asciiTheme="minorHAnsi" w:hAnsiTheme="minorHAnsi" w:cstheme="minorHAnsi"/>
        </w:rPr>
        <w:t>adaptability</w:t>
      </w:r>
      <w:proofErr w:type="gramEnd"/>
      <w:r w:rsidRPr="002B44A9">
        <w:rPr>
          <w:rFonts w:asciiTheme="minorHAnsi" w:hAnsiTheme="minorHAnsi" w:cstheme="minorHAnsi"/>
        </w:rPr>
        <w:t xml:space="preserve"> and responsiveness will be key elements for successful delivery. </w:t>
      </w:r>
    </w:p>
    <w:p w14:paraId="0437417A" w14:textId="686F1912" w:rsidR="002F498D" w:rsidRPr="002B44A9" w:rsidRDefault="002F498D" w:rsidP="002F498D">
      <w:pPr>
        <w:pStyle w:val="NormalWeb"/>
        <w:numPr>
          <w:ilvl w:val="0"/>
          <w:numId w:val="34"/>
        </w:numPr>
        <w:shd w:val="clear" w:color="auto" w:fill="FFFFFF"/>
        <w:spacing w:line="360" w:lineRule="auto"/>
        <w:rPr>
          <w:rFonts w:asciiTheme="minorHAnsi" w:hAnsiTheme="minorHAnsi" w:cstheme="minorHAnsi"/>
        </w:rPr>
      </w:pPr>
      <w:r w:rsidRPr="002B44A9">
        <w:rPr>
          <w:rFonts w:asciiTheme="minorHAnsi" w:hAnsiTheme="minorHAnsi" w:cstheme="minorHAnsi"/>
        </w:rPr>
        <w:t>Knowledge of wider system partners and their abilit</w:t>
      </w:r>
      <w:r w:rsidR="00E36BF7">
        <w:rPr>
          <w:rFonts w:asciiTheme="minorHAnsi" w:hAnsiTheme="minorHAnsi" w:cstheme="minorHAnsi"/>
        </w:rPr>
        <w:t>y</w:t>
      </w:r>
      <w:r w:rsidRPr="002B44A9">
        <w:rPr>
          <w:rFonts w:asciiTheme="minorHAnsi" w:hAnsiTheme="minorHAnsi" w:cstheme="minorHAnsi"/>
        </w:rPr>
        <w:t xml:space="preserve"> to support individuals with a severe mental illness (SMI) is inconsistent across the </w:t>
      </w:r>
      <w:r w:rsidR="00E36BF7">
        <w:rPr>
          <w:rFonts w:asciiTheme="minorHAnsi" w:hAnsiTheme="minorHAnsi" w:cstheme="minorHAnsi"/>
        </w:rPr>
        <w:t>district</w:t>
      </w:r>
      <w:r w:rsidRPr="002B44A9">
        <w:rPr>
          <w:rFonts w:asciiTheme="minorHAnsi" w:hAnsiTheme="minorHAnsi" w:cstheme="minorHAnsi"/>
        </w:rPr>
        <w:t xml:space="preserve"> </w:t>
      </w:r>
      <w:r w:rsidR="004A19E6">
        <w:rPr>
          <w:rFonts w:asciiTheme="minorHAnsi" w:hAnsiTheme="minorHAnsi" w:cstheme="minorHAnsi"/>
        </w:rPr>
        <w:t xml:space="preserve">and our community mental health teams. </w:t>
      </w:r>
      <w:r w:rsidR="007A2F69">
        <w:rPr>
          <w:rFonts w:asciiTheme="minorHAnsi" w:hAnsiTheme="minorHAnsi" w:cstheme="minorHAnsi"/>
        </w:rPr>
        <w:t>However,</w:t>
      </w:r>
      <w:r w:rsidR="004A19E6">
        <w:rPr>
          <w:rFonts w:asciiTheme="minorHAnsi" w:hAnsiTheme="minorHAnsi" w:cstheme="minorHAnsi"/>
        </w:rPr>
        <w:t xml:space="preserve"> this has been seen as improving through the education of BDCFT staff and the development of the internal </w:t>
      </w:r>
      <w:r w:rsidR="00ED0DD3">
        <w:rPr>
          <w:rFonts w:asciiTheme="minorHAnsi" w:hAnsiTheme="minorHAnsi" w:cstheme="minorHAnsi"/>
        </w:rPr>
        <w:t>S</w:t>
      </w:r>
      <w:r w:rsidR="004A19E6">
        <w:rPr>
          <w:rFonts w:asciiTheme="minorHAnsi" w:hAnsiTheme="minorHAnsi" w:cstheme="minorHAnsi"/>
        </w:rPr>
        <w:t>hare</w:t>
      </w:r>
      <w:r w:rsidR="00ED0DD3">
        <w:rPr>
          <w:rFonts w:asciiTheme="minorHAnsi" w:hAnsiTheme="minorHAnsi" w:cstheme="minorHAnsi"/>
        </w:rPr>
        <w:t>P</w:t>
      </w:r>
      <w:r w:rsidR="004A19E6">
        <w:rPr>
          <w:rFonts w:asciiTheme="minorHAnsi" w:hAnsiTheme="minorHAnsi" w:cstheme="minorHAnsi"/>
        </w:rPr>
        <w:t>oint page.</w:t>
      </w:r>
    </w:p>
    <w:p w14:paraId="0D2D3FC1" w14:textId="77777777" w:rsidR="002F498D" w:rsidRDefault="002F498D" w:rsidP="002F498D">
      <w:pPr>
        <w:pStyle w:val="NormalWeb"/>
        <w:shd w:val="clear" w:color="auto" w:fill="FFFFFF"/>
        <w:spacing w:line="360" w:lineRule="auto"/>
        <w:rPr>
          <w:rFonts w:asciiTheme="minorHAnsi" w:hAnsiTheme="minorHAnsi" w:cstheme="minorHAnsi"/>
        </w:rPr>
      </w:pPr>
    </w:p>
    <w:p w14:paraId="24C11D85" w14:textId="77777777" w:rsidR="002F498D" w:rsidRDefault="002F498D" w:rsidP="002F498D">
      <w:pPr>
        <w:pStyle w:val="NormalWeb"/>
        <w:shd w:val="clear" w:color="auto" w:fill="FFFFFF"/>
        <w:spacing w:line="360" w:lineRule="auto"/>
        <w:rPr>
          <w:rFonts w:asciiTheme="minorHAnsi" w:hAnsiTheme="minorHAnsi" w:cstheme="minorHAnsi"/>
        </w:rPr>
      </w:pPr>
    </w:p>
    <w:p w14:paraId="275EF077" w14:textId="77777777" w:rsidR="0079740B" w:rsidRPr="002B44A9" w:rsidRDefault="0079740B" w:rsidP="002F498D">
      <w:pPr>
        <w:pStyle w:val="NormalWeb"/>
        <w:shd w:val="clear" w:color="auto" w:fill="FFFFFF"/>
        <w:spacing w:line="360" w:lineRule="auto"/>
        <w:rPr>
          <w:rFonts w:asciiTheme="minorHAnsi" w:hAnsiTheme="minorHAnsi" w:cstheme="minorHAnsi"/>
        </w:rPr>
      </w:pPr>
    </w:p>
    <w:p w14:paraId="775C7205" w14:textId="77777777" w:rsidR="00034E2B" w:rsidRPr="00B404A9" w:rsidRDefault="00034E2B" w:rsidP="00034E2B">
      <w:pPr>
        <w:pStyle w:val="Heading2"/>
        <w:spacing w:line="360" w:lineRule="auto"/>
        <w:rPr>
          <w:color w:val="44257D"/>
          <w:sz w:val="28"/>
          <w:szCs w:val="28"/>
        </w:rPr>
      </w:pPr>
      <w:bookmarkStart w:id="5" w:name="_Toc176786878"/>
      <w:r w:rsidRPr="00B404A9">
        <w:rPr>
          <w:color w:val="44257D"/>
          <w:sz w:val="28"/>
          <w:szCs w:val="28"/>
        </w:rPr>
        <w:t>Introduction and scene setting</w:t>
      </w:r>
      <w:bookmarkEnd w:id="5"/>
    </w:p>
    <w:p w14:paraId="308F2680" w14:textId="77777777" w:rsidR="00034E2B" w:rsidRDefault="00034E2B" w:rsidP="00034E2B">
      <w:pPr>
        <w:pStyle w:val="NormalWeb"/>
        <w:shd w:val="clear" w:color="auto" w:fill="FFFFFF"/>
        <w:spacing w:line="360" w:lineRule="auto"/>
        <w:rPr>
          <w:rFonts w:asciiTheme="minorHAnsi" w:hAnsiTheme="minorHAnsi" w:cstheme="minorHAnsi"/>
        </w:rPr>
      </w:pPr>
      <w:r w:rsidRPr="00CE15E0">
        <w:rPr>
          <w:rFonts w:asciiTheme="minorHAnsi" w:hAnsiTheme="minorHAnsi" w:cstheme="minorHAnsi"/>
        </w:rPr>
        <w:t xml:space="preserve">The purpose of </w:t>
      </w:r>
      <w:r>
        <w:rPr>
          <w:rFonts w:asciiTheme="minorHAnsi" w:hAnsiTheme="minorHAnsi" w:cstheme="minorHAnsi"/>
        </w:rPr>
        <w:t>one-off</w:t>
      </w:r>
      <w:r w:rsidRPr="00CE15E0">
        <w:rPr>
          <w:rFonts w:asciiTheme="minorHAnsi" w:hAnsiTheme="minorHAnsi" w:cstheme="minorHAnsi"/>
        </w:rPr>
        <w:t xml:space="preserve"> mental health PHB</w:t>
      </w:r>
      <w:r>
        <w:rPr>
          <w:rFonts w:asciiTheme="minorHAnsi" w:hAnsiTheme="minorHAnsi" w:cstheme="minorHAnsi"/>
        </w:rPr>
        <w:t>’s</w:t>
      </w:r>
      <w:r w:rsidRPr="00CE15E0">
        <w:rPr>
          <w:rFonts w:asciiTheme="minorHAnsi" w:hAnsiTheme="minorHAnsi" w:cstheme="minorHAnsi"/>
        </w:rPr>
        <w:t xml:space="preserve"> is to give people a greater degree of choice and flexibility in managing their mental health in the context of their daily life. </w:t>
      </w:r>
    </w:p>
    <w:p w14:paraId="7EC4B990" w14:textId="77777777" w:rsidR="00034E2B" w:rsidRDefault="00034E2B" w:rsidP="00034E2B">
      <w:pPr>
        <w:pStyle w:val="NormalWeb"/>
        <w:shd w:val="clear" w:color="auto" w:fill="FFFFFF"/>
        <w:spacing w:line="360" w:lineRule="auto"/>
        <w:rPr>
          <w:rFonts w:asciiTheme="minorHAnsi" w:hAnsiTheme="minorHAnsi" w:cstheme="minorHAnsi"/>
        </w:rPr>
      </w:pPr>
      <w:r w:rsidRPr="00CE15E0">
        <w:rPr>
          <w:rFonts w:asciiTheme="minorHAnsi" w:hAnsiTheme="minorHAnsi" w:cstheme="minorHAnsi"/>
        </w:rPr>
        <w:t xml:space="preserve">They offer the chance to tailor support to specific stressors, </w:t>
      </w:r>
      <w:proofErr w:type="gramStart"/>
      <w:r w:rsidRPr="00CE15E0">
        <w:rPr>
          <w:rFonts w:asciiTheme="minorHAnsi" w:hAnsiTheme="minorHAnsi" w:cstheme="minorHAnsi"/>
        </w:rPr>
        <w:t>interests</w:t>
      </w:r>
      <w:proofErr w:type="gramEnd"/>
      <w:r>
        <w:rPr>
          <w:rFonts w:asciiTheme="minorHAnsi" w:hAnsiTheme="minorHAnsi" w:cstheme="minorHAnsi"/>
        </w:rPr>
        <w:t xml:space="preserve"> </w:t>
      </w:r>
      <w:r w:rsidRPr="00CE15E0">
        <w:rPr>
          <w:rFonts w:asciiTheme="minorHAnsi" w:hAnsiTheme="minorHAnsi" w:cstheme="minorHAnsi"/>
        </w:rPr>
        <w:t xml:space="preserve">or aspirations, as identified by the person themselves and can be personalised for ethnic, cultural, or religious preferences. </w:t>
      </w:r>
    </w:p>
    <w:p w14:paraId="5C0FCAF0" w14:textId="77777777" w:rsidR="00034E2B" w:rsidRDefault="00034E2B" w:rsidP="00034E2B">
      <w:pPr>
        <w:pStyle w:val="NormalWeb"/>
        <w:shd w:val="clear" w:color="auto" w:fill="FFFFFF"/>
        <w:spacing w:line="360" w:lineRule="auto"/>
        <w:rPr>
          <w:rFonts w:asciiTheme="minorHAnsi" w:hAnsiTheme="minorHAnsi" w:cstheme="minorHAnsi"/>
        </w:rPr>
      </w:pPr>
      <w:r w:rsidRPr="00CE15E0">
        <w:rPr>
          <w:rFonts w:asciiTheme="minorHAnsi" w:hAnsiTheme="minorHAnsi" w:cstheme="minorHAnsi"/>
        </w:rPr>
        <w:t xml:space="preserve">PHBs are focussed on meeting identified health needs and can be spent on </w:t>
      </w:r>
      <w:r>
        <w:rPr>
          <w:rFonts w:asciiTheme="minorHAnsi" w:hAnsiTheme="minorHAnsi" w:cstheme="minorHAnsi"/>
        </w:rPr>
        <w:t>almost anything</w:t>
      </w:r>
      <w:r w:rsidRPr="00CE15E0">
        <w:rPr>
          <w:rFonts w:asciiTheme="minorHAnsi" w:hAnsiTheme="minorHAnsi" w:cstheme="minorHAnsi"/>
        </w:rPr>
        <w:t xml:space="preserve"> that provides an individual with appropriate care and support. </w:t>
      </w:r>
    </w:p>
    <w:p w14:paraId="64E93C51" w14:textId="77777777"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Bradford District and Craven</w:t>
      </w:r>
      <w:r w:rsidRPr="00CE15E0">
        <w:rPr>
          <w:rFonts w:asciiTheme="minorHAnsi" w:hAnsiTheme="minorHAnsi" w:cstheme="minorHAnsi"/>
        </w:rPr>
        <w:t xml:space="preserve"> have </w:t>
      </w:r>
      <w:r>
        <w:rPr>
          <w:rFonts w:asciiTheme="minorHAnsi" w:hAnsiTheme="minorHAnsi" w:cstheme="minorHAnsi"/>
        </w:rPr>
        <w:t>areas with high</w:t>
      </w:r>
      <w:r w:rsidRPr="00CE15E0">
        <w:rPr>
          <w:rFonts w:asciiTheme="minorHAnsi" w:hAnsiTheme="minorHAnsi" w:cstheme="minorHAnsi"/>
        </w:rPr>
        <w:t xml:space="preserve"> levels of multiple deprivation and a high prevalence of severe mental ill healt</w:t>
      </w:r>
      <w:r>
        <w:rPr>
          <w:rFonts w:asciiTheme="minorHAnsi" w:hAnsiTheme="minorHAnsi" w:cstheme="minorHAnsi"/>
        </w:rPr>
        <w:t xml:space="preserve">h. </w:t>
      </w:r>
    </w:p>
    <w:p w14:paraId="62BBD52D" w14:textId="0012F3F0"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We know from the work carried out by the Reducing Inequalities in Communities programme that if you travel 10 miles from Wharfedale to Manningham</w:t>
      </w:r>
      <w:r w:rsidR="008D450C">
        <w:rPr>
          <w:rFonts w:asciiTheme="minorHAnsi" w:hAnsiTheme="minorHAnsi" w:cstheme="minorHAnsi"/>
        </w:rPr>
        <w:t>, h</w:t>
      </w:r>
      <w:r>
        <w:rPr>
          <w:rFonts w:asciiTheme="minorHAnsi" w:hAnsiTheme="minorHAnsi" w:cstheme="minorHAnsi"/>
        </w:rPr>
        <w:t>ealthy life expectancy drops by over 20 years.</w:t>
      </w:r>
    </w:p>
    <w:p w14:paraId="5AEE12D0" w14:textId="77777777"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noProof/>
        </w:rPr>
        <w:lastRenderedPageBreak/>
        <w:drawing>
          <wp:inline distT="0" distB="0" distL="0" distR="0" wp14:anchorId="79886F97" wp14:editId="183F7160">
            <wp:extent cx="6556075" cy="4561205"/>
            <wp:effectExtent l="0" t="0" r="0" b="0"/>
            <wp:docPr id="480500973" name="Picture 1" descr="A green and yellow infographic from Reducing Inequalaties in Communities programme showing that travelling 10 miles across the Bradford District has a 20+ year less healthy life expectancy. Data source is Office of National Statistics 2009-2013. Closing the health gap in central Bradford. www.bradfordcravenccg.nhs.uk/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00973" name="Picture 1" descr="A green and yellow infographic from Reducing Inequalaties in Communities programme showing that travelling 10 miles across the Bradford District has a 20+ year less healthy life expectancy. Data source is Office of National Statistics 2009-2013. Closing the health gap in central Bradford. www.bradfordcravenccg.nhs.uk/R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9963" cy="4577825"/>
                    </a:xfrm>
                    <a:prstGeom prst="rect">
                      <a:avLst/>
                    </a:prstGeom>
                    <a:noFill/>
                    <a:ln>
                      <a:noFill/>
                    </a:ln>
                  </pic:spPr>
                </pic:pic>
              </a:graphicData>
            </a:graphic>
          </wp:inline>
        </w:drawing>
      </w:r>
    </w:p>
    <w:p w14:paraId="7A548BE0" w14:textId="77777777"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We are currently within phase one of our pilot roll out, we began with an initial focus on our inpatient wards including out of area placements and our low secure beds, as well as our Trauma Informed Personality Pathway (TIPP) service. </w:t>
      </w:r>
    </w:p>
    <w:p w14:paraId="18871A2C" w14:textId="242D3B8E"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Data shows us that those with </w:t>
      </w:r>
      <w:r w:rsidR="00747B41">
        <w:rPr>
          <w:rFonts w:asciiTheme="minorHAnsi" w:hAnsiTheme="minorHAnsi" w:cstheme="minorHAnsi"/>
        </w:rPr>
        <w:t>s</w:t>
      </w:r>
      <w:r>
        <w:rPr>
          <w:rFonts w:asciiTheme="minorHAnsi" w:hAnsiTheme="minorHAnsi" w:cstheme="minorHAnsi"/>
        </w:rPr>
        <w:t xml:space="preserve">evere </w:t>
      </w:r>
      <w:r w:rsidR="00747B41">
        <w:rPr>
          <w:rFonts w:asciiTheme="minorHAnsi" w:hAnsiTheme="minorHAnsi" w:cstheme="minorHAnsi"/>
        </w:rPr>
        <w:t>m</w:t>
      </w:r>
      <w:r>
        <w:rPr>
          <w:rFonts w:asciiTheme="minorHAnsi" w:hAnsiTheme="minorHAnsi" w:cstheme="minorHAnsi"/>
        </w:rPr>
        <w:t xml:space="preserve">ental </w:t>
      </w:r>
      <w:r w:rsidR="00747B41">
        <w:rPr>
          <w:rFonts w:asciiTheme="minorHAnsi" w:hAnsiTheme="minorHAnsi" w:cstheme="minorHAnsi"/>
        </w:rPr>
        <w:t>i</w:t>
      </w:r>
      <w:r>
        <w:rPr>
          <w:rFonts w:asciiTheme="minorHAnsi" w:hAnsiTheme="minorHAnsi" w:cstheme="minorHAnsi"/>
        </w:rPr>
        <w:t xml:space="preserve">llness (SMI), </w:t>
      </w:r>
      <w:r w:rsidR="00747B41">
        <w:rPr>
          <w:rFonts w:asciiTheme="minorHAnsi" w:hAnsiTheme="minorHAnsi" w:cstheme="minorHAnsi"/>
        </w:rPr>
        <w:t>n</w:t>
      </w:r>
      <w:r>
        <w:rPr>
          <w:rFonts w:asciiTheme="minorHAnsi" w:hAnsiTheme="minorHAnsi" w:cstheme="minorHAnsi"/>
        </w:rPr>
        <w:t>eurodiverse or are from an ethnic minority have poorer health outcomes, these include longer stays in hospital, increased chance of reattendance to hospital, poorer access to community support and reduced access to preventative support.</w:t>
      </w:r>
    </w:p>
    <w:p w14:paraId="1203BEF6" w14:textId="77777777"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We did not place restrictions on who from these populations could have access to a PHB other than being over 18 years old. Initially we had it at working age adults and not those in our older people’s service (over 65). </w:t>
      </w:r>
    </w:p>
    <w:p w14:paraId="34C1A6F4" w14:textId="33DFCB00"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However, as part of the </w:t>
      </w:r>
      <w:r w:rsidR="00ED785A">
        <w:rPr>
          <w:rFonts w:asciiTheme="minorHAnsi" w:hAnsiTheme="minorHAnsi" w:cstheme="minorHAnsi"/>
        </w:rPr>
        <w:t>C</w:t>
      </w:r>
      <w:r>
        <w:rPr>
          <w:rFonts w:asciiTheme="minorHAnsi" w:hAnsiTheme="minorHAnsi" w:cstheme="minorHAnsi"/>
        </w:rPr>
        <w:t xml:space="preserve">ommunity </w:t>
      </w:r>
      <w:r w:rsidR="00ED785A">
        <w:rPr>
          <w:rFonts w:asciiTheme="minorHAnsi" w:hAnsiTheme="minorHAnsi" w:cstheme="minorHAnsi"/>
        </w:rPr>
        <w:t>M</w:t>
      </w:r>
      <w:r>
        <w:rPr>
          <w:rFonts w:asciiTheme="minorHAnsi" w:hAnsiTheme="minorHAnsi" w:cstheme="minorHAnsi"/>
        </w:rPr>
        <w:t xml:space="preserve">ental </w:t>
      </w:r>
      <w:r w:rsidR="00ED785A">
        <w:rPr>
          <w:rFonts w:asciiTheme="minorHAnsi" w:hAnsiTheme="minorHAnsi" w:cstheme="minorHAnsi"/>
        </w:rPr>
        <w:t>H</w:t>
      </w:r>
      <w:r>
        <w:rPr>
          <w:rFonts w:asciiTheme="minorHAnsi" w:hAnsiTheme="minorHAnsi" w:cstheme="minorHAnsi"/>
        </w:rPr>
        <w:t xml:space="preserve">ealth </w:t>
      </w:r>
      <w:r w:rsidR="00ED785A">
        <w:rPr>
          <w:rFonts w:asciiTheme="minorHAnsi" w:hAnsiTheme="minorHAnsi" w:cstheme="minorHAnsi"/>
        </w:rPr>
        <w:t>T</w:t>
      </w:r>
      <w:r>
        <w:rPr>
          <w:rFonts w:asciiTheme="minorHAnsi" w:hAnsiTheme="minorHAnsi" w:cstheme="minorHAnsi"/>
        </w:rPr>
        <w:t>ransformation (CMHT)</w:t>
      </w:r>
      <w:r w:rsidR="00747B41">
        <w:rPr>
          <w:rFonts w:asciiTheme="minorHAnsi" w:hAnsiTheme="minorHAnsi" w:cstheme="minorHAnsi"/>
        </w:rPr>
        <w:t xml:space="preserve"> programme</w:t>
      </w:r>
      <w:r>
        <w:rPr>
          <w:rFonts w:asciiTheme="minorHAnsi" w:hAnsiTheme="minorHAnsi" w:cstheme="minorHAnsi"/>
        </w:rPr>
        <w:t xml:space="preserve"> we removed the upper age barrie</w:t>
      </w:r>
      <w:r w:rsidR="00352F97">
        <w:rPr>
          <w:rFonts w:asciiTheme="minorHAnsi" w:hAnsiTheme="minorHAnsi" w:cstheme="minorHAnsi"/>
        </w:rPr>
        <w:t>r to include older people.</w:t>
      </w:r>
    </w:p>
    <w:p w14:paraId="042EB257" w14:textId="5B673B99"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We then additionally included access for those children and young people who would be accessing an inpatient bed, while as a Trust we are not commissioned to provide inpatient care to</w:t>
      </w:r>
      <w:r w:rsidR="00013488">
        <w:rPr>
          <w:rFonts w:asciiTheme="minorHAnsi" w:hAnsiTheme="minorHAnsi" w:cstheme="minorHAnsi"/>
        </w:rPr>
        <w:t xml:space="preserve"> </w:t>
      </w:r>
      <w:r w:rsidR="00013488">
        <w:rPr>
          <w:rFonts w:asciiTheme="minorHAnsi" w:hAnsiTheme="minorHAnsi" w:cstheme="minorHAnsi"/>
        </w:rPr>
        <w:lastRenderedPageBreak/>
        <w:t>Chi</w:t>
      </w:r>
      <w:r w:rsidR="00D121D6">
        <w:rPr>
          <w:rFonts w:asciiTheme="minorHAnsi" w:hAnsiTheme="minorHAnsi" w:cstheme="minorHAnsi"/>
        </w:rPr>
        <w:t>l</w:t>
      </w:r>
      <w:r w:rsidR="00013488">
        <w:rPr>
          <w:rFonts w:asciiTheme="minorHAnsi" w:hAnsiTheme="minorHAnsi" w:cstheme="minorHAnsi"/>
        </w:rPr>
        <w:t>d and Adolescent Mental Health</w:t>
      </w:r>
      <w:r>
        <w:rPr>
          <w:rFonts w:asciiTheme="minorHAnsi" w:hAnsiTheme="minorHAnsi" w:cstheme="minorHAnsi"/>
        </w:rPr>
        <w:t xml:space="preserve"> </w:t>
      </w:r>
      <w:r w:rsidR="00013488">
        <w:rPr>
          <w:rFonts w:asciiTheme="minorHAnsi" w:hAnsiTheme="minorHAnsi" w:cstheme="minorHAnsi"/>
        </w:rPr>
        <w:t>Services (</w:t>
      </w:r>
      <w:r>
        <w:rPr>
          <w:rFonts w:asciiTheme="minorHAnsi" w:hAnsiTheme="minorHAnsi" w:cstheme="minorHAnsi"/>
        </w:rPr>
        <w:t>CAMH</w:t>
      </w:r>
      <w:r w:rsidR="00013488">
        <w:rPr>
          <w:rFonts w:asciiTheme="minorHAnsi" w:hAnsiTheme="minorHAnsi" w:cstheme="minorHAnsi"/>
        </w:rPr>
        <w:t>S)</w:t>
      </w:r>
      <w:r>
        <w:rPr>
          <w:rFonts w:asciiTheme="minorHAnsi" w:hAnsiTheme="minorHAnsi" w:cstheme="minorHAnsi"/>
        </w:rPr>
        <w:t xml:space="preserve"> we had a significant pressure for inpatient beds for our children and young people, as a voice within the Bradford District and Craven Health and Care Partnership we applied a Reducing Inequalities lens and identified it would be just and equitable to include anyone who resides in Bradford District or Craven and were in an inpatient bed due to their mental health deteriorating. </w:t>
      </w:r>
    </w:p>
    <w:p w14:paraId="606DC4AD" w14:textId="77777777" w:rsidR="00603DA0"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We additionally recognised that we had many people accessing support across our services which was like that of our TIPP service however were not under their direct care, we therefore expanded to consider those who were under multi-agency care plans where it would aid in the prevention of admission. </w:t>
      </w:r>
    </w:p>
    <w:p w14:paraId="0E7C62F7" w14:textId="74C2571A"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Following our evaluation we have agreed to adjust our working to cover those who have a multi</w:t>
      </w:r>
      <w:r w:rsidR="00175DDB">
        <w:rPr>
          <w:rFonts w:asciiTheme="minorHAnsi" w:hAnsiTheme="minorHAnsi" w:cstheme="minorHAnsi"/>
        </w:rPr>
        <w:t>-</w:t>
      </w:r>
      <w:r>
        <w:rPr>
          <w:rFonts w:asciiTheme="minorHAnsi" w:hAnsiTheme="minorHAnsi" w:cstheme="minorHAnsi"/>
        </w:rPr>
        <w:t>agency care plan (3 or more services)</w:t>
      </w:r>
      <w:r w:rsidR="00603DA0">
        <w:rPr>
          <w:rFonts w:asciiTheme="minorHAnsi" w:hAnsiTheme="minorHAnsi" w:cstheme="minorHAnsi"/>
        </w:rPr>
        <w:t xml:space="preserve"> where it is identified the individual is at risk of deterioration and/or admission into hospital</w:t>
      </w:r>
      <w:r>
        <w:rPr>
          <w:rFonts w:asciiTheme="minorHAnsi" w:hAnsiTheme="minorHAnsi" w:cstheme="minorHAnsi"/>
        </w:rPr>
        <w:t xml:space="preserve"> this is to reduce inequalities and provide equity of access to the communities of Bradford District and Craven. </w:t>
      </w:r>
    </w:p>
    <w:p w14:paraId="54ED496A" w14:textId="4AAB3D16" w:rsidR="00034E2B" w:rsidRDefault="00626D0F"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To be eligible for a PHB there is</w:t>
      </w:r>
      <w:r w:rsidR="00034E2B">
        <w:rPr>
          <w:rFonts w:asciiTheme="minorHAnsi" w:hAnsiTheme="minorHAnsi" w:cstheme="minorHAnsi"/>
        </w:rPr>
        <w:t xml:space="preserve"> no need to be formally sectioned or being eligible for section 117 (S117) aftercare under the Mental Health Act (MHA)</w:t>
      </w:r>
      <w:r w:rsidR="00A774FF">
        <w:rPr>
          <w:rFonts w:asciiTheme="minorHAnsi" w:hAnsiTheme="minorHAnsi" w:cstheme="minorHAnsi"/>
        </w:rPr>
        <w:t>.</w:t>
      </w:r>
      <w:r w:rsidR="00034E2B">
        <w:rPr>
          <w:rFonts w:asciiTheme="minorHAnsi" w:hAnsiTheme="minorHAnsi" w:cstheme="minorHAnsi"/>
        </w:rPr>
        <w:t xml:space="preserve"> </w:t>
      </w:r>
      <w:r w:rsidR="00A774FF">
        <w:rPr>
          <w:rFonts w:asciiTheme="minorHAnsi" w:hAnsiTheme="minorHAnsi" w:cstheme="minorHAnsi"/>
        </w:rPr>
        <w:t>T</w:t>
      </w:r>
      <w:r w:rsidR="00034E2B">
        <w:rPr>
          <w:rFonts w:asciiTheme="minorHAnsi" w:hAnsiTheme="minorHAnsi" w:cstheme="minorHAnsi"/>
        </w:rPr>
        <w:t>hose with eligible S117 aftercare have access to more formal Personal Health Budgets since December 2019.</w:t>
      </w:r>
    </w:p>
    <w:p w14:paraId="2E263D61" w14:textId="77701B0B"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Additionally, we did not start off with any set funding amounts, but we did have one funding system across the patch which is being managed by our system partner </w:t>
      </w:r>
      <w:r w:rsidR="00603DA0">
        <w:rPr>
          <w:rFonts w:asciiTheme="minorHAnsi" w:hAnsiTheme="minorHAnsi" w:cstheme="minorHAnsi"/>
        </w:rPr>
        <w:t>Bradford District and Craven Mind</w:t>
      </w:r>
      <w:r w:rsidR="00674BCE">
        <w:rPr>
          <w:rFonts w:asciiTheme="minorHAnsi" w:hAnsiTheme="minorHAnsi" w:cstheme="minorHAnsi"/>
        </w:rPr>
        <w:t>.</w:t>
      </w:r>
    </w:p>
    <w:p w14:paraId="0C0D6BDD" w14:textId="77777777"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Within the first few months we recommended a soft limit amount of £300.00 to ensure equity and sustainability within the approach, while we would allow higher ones these would be reviewed to see if a PHB was the most suitable way to support that person’s recovery journey.</w:t>
      </w:r>
    </w:p>
    <w:p w14:paraId="79EFA48B" w14:textId="3F2A8736" w:rsidR="00034E2B" w:rsidRDefault="00034E2B" w:rsidP="00034E2B">
      <w:pPr>
        <w:pStyle w:val="NormalWeb"/>
        <w:shd w:val="clear" w:color="auto" w:fill="FFFFFF"/>
        <w:spacing w:line="360" w:lineRule="auto"/>
        <w:rPr>
          <w:rFonts w:asciiTheme="minorHAnsi" w:hAnsiTheme="minorHAnsi" w:cstheme="minorHAnsi"/>
        </w:rPr>
      </w:pPr>
      <w:r>
        <w:rPr>
          <w:rFonts w:asciiTheme="minorHAnsi" w:hAnsiTheme="minorHAnsi" w:cstheme="minorHAnsi"/>
        </w:rPr>
        <w:t>Our evaluation findings are presented within this report (</w:t>
      </w:r>
      <w:r w:rsidR="00866F69">
        <w:rPr>
          <w:rFonts w:asciiTheme="minorHAnsi" w:hAnsiTheme="minorHAnsi" w:cstheme="minorHAnsi"/>
        </w:rPr>
        <w:t>four</w:t>
      </w:r>
      <w:r>
        <w:rPr>
          <w:rFonts w:asciiTheme="minorHAnsi" w:hAnsiTheme="minorHAnsi" w:cstheme="minorHAnsi"/>
        </w:rPr>
        <w:t xml:space="preserve"> other reports form the overall evaluation. These can be read as standalone or as a complete set)</w:t>
      </w:r>
      <w:r w:rsidR="00747B41">
        <w:rPr>
          <w:rFonts w:asciiTheme="minorHAnsi" w:hAnsiTheme="minorHAnsi" w:cstheme="minorHAnsi"/>
        </w:rPr>
        <w:t>.</w:t>
      </w:r>
    </w:p>
    <w:p w14:paraId="013FD4DB" w14:textId="7B615DF9" w:rsidR="00DF1AD8" w:rsidRPr="00C81904" w:rsidRDefault="00DF1AD8" w:rsidP="00DF1AD8">
      <w:pPr>
        <w:pStyle w:val="NormalWeb"/>
        <w:shd w:val="clear" w:color="auto" w:fill="FFFFFF"/>
        <w:spacing w:line="360" w:lineRule="auto"/>
        <w:rPr>
          <w:rFonts w:ascii="Arial" w:hAnsi="Arial" w:cs="Arial"/>
          <w:color w:val="2C2640" w:themeColor="accent6" w:themeShade="40"/>
        </w:rPr>
      </w:pPr>
      <w:r w:rsidRPr="00747B41">
        <w:rPr>
          <w:rFonts w:ascii="Arial" w:hAnsi="Arial" w:cs="Arial"/>
          <w:b/>
          <w:bCs/>
          <w:color w:val="2A6967" w:themeColor="accent4" w:themeShade="80"/>
        </w:rPr>
        <w:t xml:space="preserve">Report </w:t>
      </w:r>
      <w:r w:rsidR="00747B41" w:rsidRPr="00747B41">
        <w:rPr>
          <w:rFonts w:ascii="Arial" w:hAnsi="Arial" w:cs="Arial"/>
          <w:b/>
          <w:bCs/>
          <w:color w:val="2A6967" w:themeColor="accent4" w:themeShade="80"/>
        </w:rPr>
        <w:t>one</w:t>
      </w:r>
      <w:r w:rsidRPr="00747B41">
        <w:rPr>
          <w:rFonts w:ascii="Arial" w:hAnsi="Arial" w:cs="Arial"/>
          <w:color w:val="2A6967" w:themeColor="accent4" w:themeShade="80"/>
        </w:rPr>
        <w:t xml:space="preserve">: </w:t>
      </w:r>
      <w:r w:rsidR="000F4311" w:rsidRPr="00D45E11">
        <w:rPr>
          <w:rFonts w:ascii="Arial" w:hAnsi="Arial" w:cs="Arial"/>
          <w:color w:val="44257D"/>
        </w:rPr>
        <w:t>Evaluation - Key findings</w:t>
      </w:r>
      <w:r w:rsidR="00C81904" w:rsidRPr="00D45E11">
        <w:rPr>
          <w:rFonts w:ascii="Arial" w:hAnsi="Arial" w:cs="Arial"/>
          <w:color w:val="44257D"/>
        </w:rPr>
        <w:t>.</w:t>
      </w:r>
    </w:p>
    <w:p w14:paraId="08D5831E" w14:textId="69EB7B94" w:rsidR="00DF1AD8" w:rsidRPr="00C81904" w:rsidRDefault="00DF1AD8" w:rsidP="00DF1AD8">
      <w:pPr>
        <w:pStyle w:val="NormalWeb"/>
        <w:shd w:val="clear" w:color="auto" w:fill="FFFFFF"/>
        <w:spacing w:line="360" w:lineRule="auto"/>
        <w:rPr>
          <w:rFonts w:ascii="Arial" w:hAnsi="Arial" w:cs="Arial"/>
          <w:color w:val="2C2640" w:themeColor="accent6" w:themeShade="40"/>
        </w:rPr>
      </w:pPr>
      <w:r w:rsidRPr="00747B41">
        <w:rPr>
          <w:rFonts w:ascii="Arial" w:hAnsi="Arial" w:cs="Arial"/>
          <w:b/>
          <w:bCs/>
          <w:color w:val="2A6967" w:themeColor="accent4" w:themeShade="80"/>
        </w:rPr>
        <w:t xml:space="preserve">Report </w:t>
      </w:r>
      <w:r w:rsidR="00747B41" w:rsidRPr="00747B41">
        <w:rPr>
          <w:rFonts w:ascii="Arial" w:hAnsi="Arial" w:cs="Arial"/>
          <w:b/>
          <w:bCs/>
          <w:color w:val="2A6967" w:themeColor="accent4" w:themeShade="80"/>
        </w:rPr>
        <w:t>two</w:t>
      </w:r>
      <w:r w:rsidRPr="00747B41">
        <w:rPr>
          <w:rFonts w:ascii="Arial" w:hAnsi="Arial" w:cs="Arial"/>
          <w:b/>
          <w:bCs/>
          <w:color w:val="2A6967" w:themeColor="accent4" w:themeShade="80"/>
        </w:rPr>
        <w:t xml:space="preserve">: </w:t>
      </w:r>
      <w:r w:rsidRPr="00D45E11">
        <w:rPr>
          <w:rFonts w:ascii="Arial" w:hAnsi="Arial" w:cs="Arial"/>
          <w:color w:val="44257D"/>
        </w:rPr>
        <w:t>Overview summary of findings from personal health budget holders, staff and system partners highlighting key findings and learning.</w:t>
      </w:r>
    </w:p>
    <w:p w14:paraId="0213DA2A" w14:textId="261C1DFA" w:rsidR="00DF1AD8" w:rsidRPr="00F75C17" w:rsidRDefault="00DF1AD8" w:rsidP="00DF1AD8">
      <w:pPr>
        <w:pStyle w:val="NormalWeb"/>
        <w:shd w:val="clear" w:color="auto" w:fill="FFFFFF"/>
        <w:spacing w:line="360" w:lineRule="auto"/>
        <w:rPr>
          <w:rFonts w:ascii="Arial" w:hAnsi="Arial" w:cs="Arial"/>
          <w:color w:val="2C2640" w:themeColor="accent6" w:themeShade="40"/>
        </w:rPr>
      </w:pPr>
      <w:r w:rsidRPr="00747B41">
        <w:rPr>
          <w:rFonts w:ascii="Arial" w:hAnsi="Arial" w:cs="Arial"/>
          <w:b/>
          <w:bCs/>
          <w:color w:val="2A6967" w:themeColor="accent4" w:themeShade="80"/>
        </w:rPr>
        <w:t xml:space="preserve">Report </w:t>
      </w:r>
      <w:r w:rsidR="00747B41" w:rsidRPr="00747B41">
        <w:rPr>
          <w:rFonts w:ascii="Arial" w:hAnsi="Arial" w:cs="Arial"/>
          <w:b/>
          <w:bCs/>
          <w:color w:val="2A6967" w:themeColor="accent4" w:themeShade="80"/>
        </w:rPr>
        <w:t>three</w:t>
      </w:r>
      <w:r w:rsidRPr="00747B41">
        <w:rPr>
          <w:rFonts w:ascii="Arial" w:hAnsi="Arial" w:cs="Arial"/>
          <w:color w:val="2A6967" w:themeColor="accent4" w:themeShade="80"/>
        </w:rPr>
        <w:t xml:space="preserve">: </w:t>
      </w:r>
      <w:r w:rsidRPr="00D45E11">
        <w:rPr>
          <w:rFonts w:ascii="Arial" w:hAnsi="Arial" w:cs="Arial"/>
          <w:color w:val="44257D"/>
        </w:rPr>
        <w:t>Findings from interviews with patients and carers.</w:t>
      </w:r>
    </w:p>
    <w:p w14:paraId="4EA52814" w14:textId="73DA16B9" w:rsidR="00DF1AD8" w:rsidRPr="00D45E11" w:rsidRDefault="00DF1AD8" w:rsidP="00DF1AD8">
      <w:pPr>
        <w:pStyle w:val="Heading2"/>
        <w:spacing w:line="360" w:lineRule="auto"/>
        <w:rPr>
          <w:rFonts w:ascii="Arial" w:hAnsi="Arial" w:cs="Arial"/>
          <w:b w:val="0"/>
          <w:bCs w:val="0"/>
          <w:color w:val="44257D"/>
          <w:sz w:val="24"/>
          <w:szCs w:val="24"/>
        </w:rPr>
      </w:pPr>
      <w:bookmarkStart w:id="6" w:name="_Toc176786879"/>
      <w:bookmarkStart w:id="7" w:name="_Toc178960568"/>
      <w:bookmarkStart w:id="8" w:name="_Toc176774273"/>
      <w:r w:rsidRPr="00747B41">
        <w:rPr>
          <w:rFonts w:ascii="Arial" w:hAnsi="Arial" w:cs="Arial"/>
          <w:color w:val="2A6967" w:themeColor="accent4" w:themeShade="80"/>
          <w:sz w:val="24"/>
          <w:szCs w:val="24"/>
        </w:rPr>
        <w:lastRenderedPageBreak/>
        <w:t xml:space="preserve">Report </w:t>
      </w:r>
      <w:r w:rsidR="00747B41" w:rsidRPr="00747B41">
        <w:rPr>
          <w:rFonts w:ascii="Arial" w:hAnsi="Arial" w:cs="Arial"/>
          <w:color w:val="2A6967" w:themeColor="accent4" w:themeShade="80"/>
          <w:sz w:val="24"/>
          <w:szCs w:val="24"/>
        </w:rPr>
        <w:t>four</w:t>
      </w:r>
      <w:r w:rsidRPr="00747B41">
        <w:rPr>
          <w:rFonts w:ascii="Arial" w:hAnsi="Arial" w:cs="Arial"/>
          <w:color w:val="2A6967" w:themeColor="accent4" w:themeShade="80"/>
          <w:sz w:val="24"/>
          <w:szCs w:val="24"/>
        </w:rPr>
        <w:t xml:space="preserve">: </w:t>
      </w:r>
      <w:r w:rsidRPr="00D45E11">
        <w:rPr>
          <w:rFonts w:ascii="Arial" w:hAnsi="Arial" w:cs="Arial"/>
          <w:b w:val="0"/>
          <w:bCs w:val="0"/>
          <w:color w:val="44257D"/>
          <w:sz w:val="24"/>
          <w:szCs w:val="24"/>
        </w:rPr>
        <w:t>Findings from interviews with staff</w:t>
      </w:r>
      <w:bookmarkEnd w:id="6"/>
      <w:r w:rsidRPr="00D45E11">
        <w:rPr>
          <w:rFonts w:ascii="Arial" w:hAnsi="Arial" w:cs="Arial"/>
          <w:b w:val="0"/>
          <w:bCs w:val="0"/>
          <w:color w:val="44257D"/>
          <w:sz w:val="24"/>
          <w:szCs w:val="24"/>
        </w:rPr>
        <w:t>.</w:t>
      </w:r>
      <w:bookmarkEnd w:id="7"/>
    </w:p>
    <w:p w14:paraId="30FF6CE9" w14:textId="13B01459" w:rsidR="00DF1AD8" w:rsidRPr="00F75C17" w:rsidRDefault="00DF1AD8" w:rsidP="00DF1AD8">
      <w:pPr>
        <w:pStyle w:val="Heading2"/>
        <w:spacing w:line="360" w:lineRule="auto"/>
        <w:rPr>
          <w:rFonts w:ascii="Arial" w:hAnsi="Arial" w:cs="Arial"/>
          <w:b w:val="0"/>
          <w:bCs w:val="0"/>
          <w:sz w:val="24"/>
          <w:szCs w:val="24"/>
        </w:rPr>
        <w:sectPr w:rsidR="00DF1AD8" w:rsidRPr="00F75C17" w:rsidSect="0079740B">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pgNumType w:start="1"/>
          <w:cols w:space="708"/>
          <w:titlePg/>
          <w:docGrid w:linePitch="360"/>
        </w:sectPr>
      </w:pPr>
      <w:bookmarkStart w:id="9" w:name="_Toc176786880"/>
      <w:bookmarkStart w:id="10" w:name="_Toc178960569"/>
      <w:bookmarkEnd w:id="8"/>
      <w:r w:rsidRPr="00747B41">
        <w:rPr>
          <w:rFonts w:ascii="Arial" w:hAnsi="Arial" w:cs="Arial"/>
          <w:color w:val="2A6967" w:themeColor="accent4" w:themeShade="80"/>
          <w:sz w:val="24"/>
          <w:szCs w:val="24"/>
        </w:rPr>
        <w:t xml:space="preserve">Report </w:t>
      </w:r>
      <w:r w:rsidR="00747B41" w:rsidRPr="00747B41">
        <w:rPr>
          <w:rFonts w:ascii="Arial" w:hAnsi="Arial" w:cs="Arial"/>
          <w:color w:val="2A6967" w:themeColor="accent4" w:themeShade="80"/>
          <w:sz w:val="24"/>
          <w:szCs w:val="24"/>
        </w:rPr>
        <w:t>five</w:t>
      </w:r>
      <w:r w:rsidRPr="00747B41">
        <w:rPr>
          <w:rFonts w:ascii="Arial" w:hAnsi="Arial" w:cs="Arial"/>
          <w:color w:val="2A6967" w:themeColor="accent4" w:themeShade="80"/>
          <w:sz w:val="24"/>
          <w:szCs w:val="24"/>
        </w:rPr>
        <w:t xml:space="preserve">: </w:t>
      </w:r>
      <w:r w:rsidRPr="00D45E11">
        <w:rPr>
          <w:rFonts w:ascii="Arial" w:hAnsi="Arial" w:cs="Arial"/>
          <w:b w:val="0"/>
          <w:bCs w:val="0"/>
          <w:color w:val="44257D"/>
          <w:sz w:val="24"/>
          <w:szCs w:val="24"/>
        </w:rPr>
        <w:t>Findings from delivery partner and system partn</w:t>
      </w:r>
      <w:bookmarkEnd w:id="9"/>
      <w:r w:rsidRPr="00D45E11">
        <w:rPr>
          <w:rFonts w:ascii="Arial" w:hAnsi="Arial" w:cs="Arial"/>
          <w:b w:val="0"/>
          <w:bCs w:val="0"/>
          <w:color w:val="44257D"/>
          <w:sz w:val="24"/>
          <w:szCs w:val="24"/>
        </w:rPr>
        <w:t>er</w:t>
      </w:r>
      <w:bookmarkEnd w:id="10"/>
      <w:r w:rsidR="00B404A9" w:rsidRPr="00D45E11">
        <w:rPr>
          <w:rFonts w:ascii="Arial" w:hAnsi="Arial" w:cs="Arial"/>
          <w:b w:val="0"/>
          <w:bCs w:val="0"/>
          <w:color w:val="44257D"/>
          <w:sz w:val="24"/>
          <w:szCs w:val="24"/>
        </w:rPr>
        <w:t>.</w:t>
      </w:r>
    </w:p>
    <w:p w14:paraId="2C4C920B" w14:textId="52B89A58" w:rsidR="00D4219A" w:rsidRPr="00B404A9" w:rsidRDefault="00D4219A" w:rsidP="00D4219A">
      <w:pPr>
        <w:pStyle w:val="Heading2"/>
        <w:rPr>
          <w:color w:val="44257D"/>
        </w:rPr>
      </w:pPr>
      <w:bookmarkStart w:id="11" w:name="_Toc178960570"/>
      <w:r w:rsidRPr="00B404A9">
        <w:rPr>
          <w:color w:val="44257D"/>
        </w:rPr>
        <w:lastRenderedPageBreak/>
        <w:t>Overall findings and summary</w:t>
      </w:r>
      <w:bookmarkEnd w:id="11"/>
    </w:p>
    <w:p w14:paraId="754092DB" w14:textId="567CD2CE" w:rsidR="00D4219A" w:rsidRDefault="00DD52D8" w:rsidP="0022029C">
      <w:pPr>
        <w:spacing w:line="360" w:lineRule="auto"/>
      </w:pPr>
      <w:r>
        <w:t>During January 2024 to July 2024, we approved 110 one off mental health personal health budgets.</w:t>
      </w:r>
    </w:p>
    <w:p w14:paraId="25D73D9F" w14:textId="364BA107" w:rsidR="00DD52D8" w:rsidRDefault="002F7DF9" w:rsidP="0022029C">
      <w:pPr>
        <w:spacing w:line="360" w:lineRule="auto"/>
      </w:pPr>
      <w:r>
        <w:t>Of th</w:t>
      </w:r>
      <w:r w:rsidR="007F26A4">
        <w:t>ose</w:t>
      </w:r>
      <w:r>
        <w:t xml:space="preserve"> 99 (90%) of applications came from those who were inpatients within</w:t>
      </w:r>
      <w:r w:rsidR="00747B41">
        <w:t xml:space="preserve"> Bradford District Care NHS Foundation Trust</w:t>
      </w:r>
      <w:r>
        <w:t xml:space="preserve"> </w:t>
      </w:r>
      <w:r w:rsidR="00ED0DD3">
        <w:t>(</w:t>
      </w:r>
      <w:r>
        <w:t>BDCFT</w:t>
      </w:r>
      <w:r w:rsidR="00ED0DD3">
        <w:t>)</w:t>
      </w:r>
      <w:r>
        <w:t xml:space="preserve"> wards or in an out of area bed. </w:t>
      </w:r>
      <w:r w:rsidR="00ED0DD3">
        <w:t>Eleven</w:t>
      </w:r>
      <w:r>
        <w:t xml:space="preserve"> (10%) of applications were based on those under the Trauma Informed Personality Pathway (TIPP) team in the community. </w:t>
      </w:r>
    </w:p>
    <w:p w14:paraId="63F6B23F" w14:textId="3BD87FCF" w:rsidR="00DB661E" w:rsidRDefault="00DB661E" w:rsidP="0022029C">
      <w:pPr>
        <w:spacing w:line="360" w:lineRule="auto"/>
      </w:pPr>
      <w:r>
        <w:t xml:space="preserve">The table below shows a breakdown of applications </w:t>
      </w:r>
      <w:r w:rsidR="00385678">
        <w:t>across the first six months of the pilot, whilst the pilot launched in January 2024, our first applications did not come through until February 2024.</w:t>
      </w:r>
    </w:p>
    <w:p w14:paraId="61A3780A" w14:textId="54CA8555" w:rsidR="002F7DF9" w:rsidRDefault="00DB661E" w:rsidP="00D4219A">
      <w:r>
        <w:rPr>
          <w:noProof/>
        </w:rPr>
        <w:drawing>
          <wp:inline distT="0" distB="0" distL="0" distR="0" wp14:anchorId="7869E0AC" wp14:editId="1C93DC57">
            <wp:extent cx="6676845" cy="4278702"/>
            <wp:effectExtent l="0" t="0" r="10160" b="7620"/>
            <wp:docPr id="2075796674" name="Chart 1" descr="Number of applications per ward for one off personal health budgets in mental health (February 2024 - July 2024) 110 applications total&#10;">
              <a:extLst xmlns:a="http://schemas.openxmlformats.org/drawingml/2006/main">
                <a:ext uri="{FF2B5EF4-FFF2-40B4-BE49-F238E27FC236}">
                  <a16:creationId xmlns:a16="http://schemas.microsoft.com/office/drawing/2014/main" id="{D53C9A13-D074-7E26-EA7B-4499A3188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3CDEDF" w14:textId="7415F7DB" w:rsidR="00151290" w:rsidRDefault="00691196" w:rsidP="0022029C">
      <w:pPr>
        <w:spacing w:line="360" w:lineRule="auto"/>
      </w:pPr>
      <w:r>
        <w:t xml:space="preserve">The </w:t>
      </w:r>
      <w:r w:rsidR="0045798A">
        <w:t>table highlights</w:t>
      </w:r>
      <w:r>
        <w:t xml:space="preserve"> our top three referral wards</w:t>
      </w:r>
      <w:r w:rsidR="00E94D4B">
        <w:t xml:space="preserve"> Maplebeck (Male ward at Lynfield Mount Hospital), Step Forward Centre (Inpatient rehabilitation) and Fern Ward (Male ward at Airedale Centre for Mental Health)</w:t>
      </w:r>
      <w:r w:rsidR="0045798A">
        <w:t>, whilst highlighting where we have had few referrals such as specialist inpatient areas such as children and young people, learning disabilities and some of our low secure wards.</w:t>
      </w:r>
    </w:p>
    <w:p w14:paraId="7360F8D8" w14:textId="77777777" w:rsidR="00771E1A" w:rsidRPr="00C34FA6" w:rsidRDefault="00771E1A" w:rsidP="0022029C">
      <w:pPr>
        <w:spacing w:line="360" w:lineRule="auto"/>
      </w:pPr>
    </w:p>
    <w:p w14:paraId="1FC3FC7D" w14:textId="273947F3" w:rsidR="00151290" w:rsidRPr="00151290" w:rsidRDefault="00151290" w:rsidP="0022029C">
      <w:pPr>
        <w:spacing w:line="360" w:lineRule="auto"/>
      </w:pPr>
      <w:r>
        <w:lastRenderedPageBreak/>
        <w:t>The table below shows the number of application</w:t>
      </w:r>
      <w:r w:rsidR="00D3537A">
        <w:t>s for budgets based on the type of ward. This helped us identify how equitable applications have been so far and where more targeted approaches may be needed to support access to PHB’s.</w:t>
      </w:r>
    </w:p>
    <w:p w14:paraId="1D0E5DB2" w14:textId="7AEF86BF" w:rsidR="00151290" w:rsidRDefault="00151290" w:rsidP="00D4219A">
      <w:pPr>
        <w:rPr>
          <w:sz w:val="20"/>
          <w:szCs w:val="20"/>
        </w:rPr>
      </w:pPr>
      <w:r>
        <w:rPr>
          <w:noProof/>
        </w:rPr>
        <w:drawing>
          <wp:inline distT="0" distB="0" distL="0" distR="0" wp14:anchorId="521137A2" wp14:editId="1FE065E5">
            <wp:extent cx="6763109" cy="4011283"/>
            <wp:effectExtent l="0" t="0" r="0" b="8890"/>
            <wp:docPr id="2120012408" name="Chart 1" descr="Number of applications per type of ward for one off personal health budgets in mental health (February 2024 - July 2024) 110 applications total&#10;">
              <a:extLst xmlns:a="http://schemas.openxmlformats.org/drawingml/2006/main">
                <a:ext uri="{FF2B5EF4-FFF2-40B4-BE49-F238E27FC236}">
                  <a16:creationId xmlns:a16="http://schemas.microsoft.com/office/drawing/2014/main" id="{0F2CEE65-F57D-9F01-AE92-239F1D233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6C893E" w14:textId="30A68836" w:rsidR="00C34FA6" w:rsidRDefault="00E94D4B" w:rsidP="0022029C">
      <w:pPr>
        <w:spacing w:line="360" w:lineRule="auto"/>
      </w:pPr>
      <w:r w:rsidRPr="00E94D4B">
        <w:t>Th</w:t>
      </w:r>
      <w:r>
        <w:t xml:space="preserve">e table highlights that whilst our acute wards, rehabilitation and TIPP have had </w:t>
      </w:r>
      <w:r w:rsidR="003E2FFF">
        <w:t>several</w:t>
      </w:r>
      <w:r w:rsidR="00BE4022">
        <w:t xml:space="preserve"> applications our </w:t>
      </w:r>
      <w:r w:rsidR="00C41243">
        <w:t>specialist inpatient</w:t>
      </w:r>
      <w:r w:rsidR="002E298C">
        <w:t xml:space="preserve"> have had few referrals. </w:t>
      </w:r>
      <w:r w:rsidR="003E2FFF">
        <w:t>This helped us inform our plan on ensuring more equitable access going forward.</w:t>
      </w:r>
    </w:p>
    <w:p w14:paraId="6D26B259" w14:textId="77777777" w:rsidR="00771E1A" w:rsidRDefault="00771E1A" w:rsidP="0022029C">
      <w:pPr>
        <w:spacing w:line="360" w:lineRule="auto"/>
      </w:pPr>
    </w:p>
    <w:p w14:paraId="6EF4BCEE" w14:textId="77777777" w:rsidR="00771E1A" w:rsidRDefault="00771E1A" w:rsidP="0022029C">
      <w:pPr>
        <w:spacing w:line="360" w:lineRule="auto"/>
      </w:pPr>
    </w:p>
    <w:p w14:paraId="455FDC57" w14:textId="77777777" w:rsidR="00771E1A" w:rsidRDefault="00771E1A" w:rsidP="0022029C">
      <w:pPr>
        <w:spacing w:line="360" w:lineRule="auto"/>
      </w:pPr>
    </w:p>
    <w:p w14:paraId="2D62B487" w14:textId="77777777" w:rsidR="00771E1A" w:rsidRDefault="00771E1A" w:rsidP="0022029C">
      <w:pPr>
        <w:spacing w:line="360" w:lineRule="auto"/>
      </w:pPr>
    </w:p>
    <w:p w14:paraId="28EDD18C" w14:textId="77777777" w:rsidR="00771E1A" w:rsidRDefault="00771E1A" w:rsidP="0022029C">
      <w:pPr>
        <w:spacing w:line="360" w:lineRule="auto"/>
      </w:pPr>
    </w:p>
    <w:p w14:paraId="1F20F686" w14:textId="77777777" w:rsidR="00771E1A" w:rsidRDefault="00771E1A" w:rsidP="0022029C">
      <w:pPr>
        <w:spacing w:line="360" w:lineRule="auto"/>
      </w:pPr>
    </w:p>
    <w:p w14:paraId="25CB6B74" w14:textId="77777777" w:rsidR="00771E1A" w:rsidRDefault="00771E1A" w:rsidP="0022029C">
      <w:pPr>
        <w:spacing w:line="360" w:lineRule="auto"/>
      </w:pPr>
    </w:p>
    <w:p w14:paraId="1E44A7C9" w14:textId="77777777" w:rsidR="00771E1A" w:rsidRDefault="00771E1A" w:rsidP="0022029C">
      <w:pPr>
        <w:spacing w:line="360" w:lineRule="auto"/>
      </w:pPr>
    </w:p>
    <w:p w14:paraId="1D1E169A" w14:textId="28E253DE" w:rsidR="003B15E8" w:rsidRDefault="003B15E8" w:rsidP="00D4219A">
      <w:pPr>
        <w:rPr>
          <w:rFonts w:asciiTheme="minorHAnsi" w:hAnsiTheme="minorHAnsi" w:cstheme="minorHAnsi"/>
          <w:b/>
          <w:bCs/>
          <w:color w:val="2C2640" w:themeColor="accent6" w:themeShade="40"/>
          <w:sz w:val="28"/>
          <w:szCs w:val="28"/>
        </w:rPr>
      </w:pPr>
      <w:r w:rsidRPr="00B404A9">
        <w:rPr>
          <w:rFonts w:asciiTheme="minorHAnsi" w:hAnsiTheme="minorHAnsi" w:cstheme="minorHAnsi"/>
          <w:b/>
          <w:bCs/>
          <w:color w:val="44257D"/>
          <w:sz w:val="28"/>
          <w:szCs w:val="28"/>
        </w:rPr>
        <w:lastRenderedPageBreak/>
        <w:t xml:space="preserve">Gender </w:t>
      </w:r>
      <w:r w:rsidR="007F4F68" w:rsidRPr="00B404A9">
        <w:rPr>
          <w:rFonts w:asciiTheme="minorHAnsi" w:hAnsiTheme="minorHAnsi" w:cstheme="minorHAnsi"/>
          <w:b/>
          <w:bCs/>
          <w:color w:val="44257D"/>
          <w:sz w:val="28"/>
          <w:szCs w:val="28"/>
        </w:rPr>
        <w:t>and Age</w:t>
      </w:r>
    </w:p>
    <w:p w14:paraId="6DF8E47D" w14:textId="311101A2" w:rsidR="007F4F68" w:rsidRDefault="007F4F68" w:rsidP="00D4219A">
      <w:pPr>
        <w:rPr>
          <w:rFonts w:asciiTheme="minorHAnsi" w:hAnsiTheme="minorHAnsi" w:cstheme="minorHAnsi"/>
        </w:rPr>
      </w:pPr>
      <w:r>
        <w:rPr>
          <w:rFonts w:asciiTheme="minorHAnsi" w:hAnsiTheme="minorHAnsi" w:cstheme="minorHAnsi"/>
        </w:rPr>
        <w:t xml:space="preserve">The table below shows the number of applicants </w:t>
      </w:r>
      <w:r w:rsidR="000B15F4">
        <w:rPr>
          <w:rFonts w:asciiTheme="minorHAnsi" w:hAnsiTheme="minorHAnsi" w:cstheme="minorHAnsi"/>
        </w:rPr>
        <w:t xml:space="preserve">broken down by age group and gender. </w:t>
      </w:r>
    </w:p>
    <w:p w14:paraId="36A9D01B" w14:textId="15325531" w:rsidR="00771E1A" w:rsidRPr="00ED0DD3" w:rsidRDefault="000F4641" w:rsidP="00ED0DD3">
      <w:pPr>
        <w:rPr>
          <w:rFonts w:asciiTheme="minorHAnsi" w:hAnsiTheme="minorHAnsi" w:cstheme="minorHAnsi"/>
        </w:rPr>
      </w:pPr>
      <w:r>
        <w:rPr>
          <w:noProof/>
        </w:rPr>
        <w:drawing>
          <wp:inline distT="0" distB="0" distL="0" distR="0" wp14:anchorId="44F46908" wp14:editId="26A86A8A">
            <wp:extent cx="6676845" cy="2786332"/>
            <wp:effectExtent l="0" t="0" r="10160" b="14605"/>
            <wp:docPr id="1103984912" name="Chart 1" descr="Number of applications (age and gender)&#10;">
              <a:extLst xmlns:a="http://schemas.openxmlformats.org/drawingml/2006/main">
                <a:ext uri="{FF2B5EF4-FFF2-40B4-BE49-F238E27FC236}">
                  <a16:creationId xmlns:a16="http://schemas.microsoft.com/office/drawing/2014/main" id="{9ADEF779-862A-CF32-0DCC-89CBE29E8B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7796B6" w14:textId="1123CF23" w:rsidR="00E5007B" w:rsidRDefault="00480498" w:rsidP="00771E1A">
      <w:pPr>
        <w:spacing w:line="360" w:lineRule="auto"/>
      </w:pPr>
      <w:r>
        <w:t xml:space="preserve">The table above does not show any specific trends within the number of applicants by age or gender. </w:t>
      </w:r>
      <w:r w:rsidR="00BB4FDC">
        <w:t xml:space="preserve">Whilst more males have left hospital during this period it is a smaller difference than that of in our total of applicants. This will allow us to look at how we promote PHB’s to our female wards. </w:t>
      </w:r>
    </w:p>
    <w:p w14:paraId="61F3B4DA" w14:textId="7C26621D" w:rsidR="00E5007B" w:rsidRPr="00B404A9" w:rsidRDefault="00E5007B" w:rsidP="00D4219A">
      <w:pPr>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t>Gender and Ethnicity</w:t>
      </w:r>
    </w:p>
    <w:p w14:paraId="5CF7511A" w14:textId="5C504F29" w:rsidR="00E5007B" w:rsidRDefault="00E5007B" w:rsidP="00D4219A">
      <w:pPr>
        <w:rPr>
          <w:rFonts w:asciiTheme="minorHAnsi" w:hAnsiTheme="minorHAnsi" w:cstheme="minorHAnsi"/>
          <w:color w:val="2C2640" w:themeColor="accent6" w:themeShade="40"/>
        </w:rPr>
      </w:pPr>
      <w:r w:rsidRPr="00E5007B">
        <w:rPr>
          <w:rFonts w:asciiTheme="minorHAnsi" w:hAnsiTheme="minorHAnsi" w:cstheme="minorHAnsi"/>
          <w:color w:val="2C2640" w:themeColor="accent6" w:themeShade="40"/>
        </w:rPr>
        <w:t>The</w:t>
      </w:r>
      <w:r>
        <w:rPr>
          <w:rFonts w:asciiTheme="minorHAnsi" w:hAnsiTheme="minorHAnsi" w:cstheme="minorHAnsi"/>
          <w:color w:val="2C2640" w:themeColor="accent6" w:themeShade="40"/>
        </w:rPr>
        <w:t xml:space="preserve"> table below shows a </w:t>
      </w:r>
      <w:r w:rsidR="0079740B">
        <w:rPr>
          <w:rFonts w:asciiTheme="minorHAnsi" w:hAnsiTheme="minorHAnsi" w:cstheme="minorHAnsi"/>
          <w:color w:val="2C2640" w:themeColor="accent6" w:themeShade="40"/>
        </w:rPr>
        <w:t>breakdown</w:t>
      </w:r>
      <w:r>
        <w:rPr>
          <w:rFonts w:asciiTheme="minorHAnsi" w:hAnsiTheme="minorHAnsi" w:cstheme="minorHAnsi"/>
          <w:color w:val="2C2640" w:themeColor="accent6" w:themeShade="40"/>
        </w:rPr>
        <w:t xml:space="preserve"> of applications by gender and ethnicity.</w:t>
      </w:r>
    </w:p>
    <w:p w14:paraId="50651778" w14:textId="6B9ADB36" w:rsidR="00E5007B" w:rsidRPr="00E5007B" w:rsidRDefault="00E5007B" w:rsidP="00D4219A">
      <w:pPr>
        <w:rPr>
          <w:rFonts w:asciiTheme="minorHAnsi" w:hAnsiTheme="minorHAnsi" w:cstheme="minorHAnsi"/>
          <w:color w:val="2C2640" w:themeColor="accent6" w:themeShade="40"/>
        </w:rPr>
      </w:pPr>
      <w:r>
        <w:rPr>
          <w:noProof/>
        </w:rPr>
        <w:drawing>
          <wp:inline distT="0" distB="0" distL="0" distR="0" wp14:anchorId="2ED8A553" wp14:editId="04784FF4">
            <wp:extent cx="6797040" cy="2527540"/>
            <wp:effectExtent l="0" t="0" r="3810" b="6350"/>
            <wp:docPr id="10003130" name="Chart 1" descr="Number of applications (gender and ethnicity)&#10;">
              <a:extLst xmlns:a="http://schemas.openxmlformats.org/drawingml/2006/main">
                <a:ext uri="{FF2B5EF4-FFF2-40B4-BE49-F238E27FC236}">
                  <a16:creationId xmlns:a16="http://schemas.microsoft.com/office/drawing/2014/main" id="{4D0667B5-1056-0DF7-85A8-43D20F2166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03AF94" w14:textId="77777777" w:rsidR="00135BCC" w:rsidRDefault="006346D4" w:rsidP="0022029C">
      <w:pPr>
        <w:spacing w:line="360" w:lineRule="auto"/>
        <w:rPr>
          <w:rFonts w:asciiTheme="minorHAnsi" w:hAnsiTheme="minorHAnsi" w:cstheme="minorHAnsi"/>
        </w:rPr>
      </w:pPr>
      <w:r>
        <w:rPr>
          <w:rFonts w:asciiTheme="minorHAnsi" w:hAnsiTheme="minorHAnsi" w:cstheme="minorHAnsi"/>
        </w:rPr>
        <w:t xml:space="preserve">The table above highlights the number of applications based on gender and ethnicity, this ethnicity data is either what is documented in patient records or how the person self identifies. </w:t>
      </w:r>
    </w:p>
    <w:p w14:paraId="526DD0C3" w14:textId="77777777" w:rsidR="0022029C" w:rsidRDefault="00BB4FDC" w:rsidP="0022029C">
      <w:pPr>
        <w:spacing w:line="360" w:lineRule="auto"/>
        <w:rPr>
          <w:rFonts w:asciiTheme="minorHAnsi" w:hAnsiTheme="minorHAnsi" w:cstheme="minorHAnsi"/>
        </w:rPr>
      </w:pPr>
      <w:r>
        <w:rPr>
          <w:rFonts w:asciiTheme="minorHAnsi" w:hAnsiTheme="minorHAnsi" w:cstheme="minorHAnsi"/>
        </w:rPr>
        <w:lastRenderedPageBreak/>
        <w:t xml:space="preserve">During the period of February 2024 to July 2024 </w:t>
      </w:r>
      <w:r w:rsidR="009A179F">
        <w:rPr>
          <w:rFonts w:asciiTheme="minorHAnsi" w:hAnsiTheme="minorHAnsi" w:cstheme="minorHAnsi"/>
        </w:rPr>
        <w:t xml:space="preserve">just over 50% of our admissions were White British, this is </w:t>
      </w:r>
      <w:r w:rsidR="001F4968">
        <w:rPr>
          <w:rFonts w:asciiTheme="minorHAnsi" w:hAnsiTheme="minorHAnsi" w:cstheme="minorHAnsi"/>
        </w:rPr>
        <w:t>equitable</w:t>
      </w:r>
      <w:r w:rsidR="0022029C">
        <w:rPr>
          <w:rFonts w:asciiTheme="minorHAnsi" w:hAnsiTheme="minorHAnsi" w:cstheme="minorHAnsi"/>
        </w:rPr>
        <w:t xml:space="preserve"> of</w:t>
      </w:r>
      <w:r w:rsidR="009A179F">
        <w:rPr>
          <w:rFonts w:asciiTheme="minorHAnsi" w:hAnsiTheme="minorHAnsi" w:cstheme="minorHAnsi"/>
        </w:rPr>
        <w:t xml:space="preserve"> our PHB applications,</w:t>
      </w:r>
      <w:r w:rsidR="001F4968">
        <w:rPr>
          <w:rFonts w:asciiTheme="minorHAnsi" w:hAnsiTheme="minorHAnsi" w:cstheme="minorHAnsi"/>
        </w:rPr>
        <w:t xml:space="preserve"> </w:t>
      </w:r>
      <w:r w:rsidR="00AD67E9">
        <w:rPr>
          <w:rFonts w:asciiTheme="minorHAnsi" w:hAnsiTheme="minorHAnsi" w:cstheme="minorHAnsi"/>
        </w:rPr>
        <w:t xml:space="preserve">one thing we did note was that whilst 10% of our applications identified as black, the admissions data records only </w:t>
      </w:r>
      <w:r w:rsidR="00D33839">
        <w:rPr>
          <w:rFonts w:asciiTheme="minorHAnsi" w:hAnsiTheme="minorHAnsi" w:cstheme="minorHAnsi"/>
        </w:rPr>
        <w:t>a small percentage</w:t>
      </w:r>
      <w:r w:rsidR="0022029C">
        <w:rPr>
          <w:rFonts w:asciiTheme="minorHAnsi" w:hAnsiTheme="minorHAnsi" w:cstheme="minorHAnsi"/>
        </w:rPr>
        <w:t>.</w:t>
      </w:r>
      <w:r w:rsidR="00D33839">
        <w:rPr>
          <w:rFonts w:asciiTheme="minorHAnsi" w:hAnsiTheme="minorHAnsi" w:cstheme="minorHAnsi"/>
        </w:rPr>
        <w:t xml:space="preserve"> </w:t>
      </w:r>
    </w:p>
    <w:p w14:paraId="1D673E4C" w14:textId="293ADE45" w:rsidR="00135BCC" w:rsidRDefault="0022029C" w:rsidP="0022029C">
      <w:pPr>
        <w:spacing w:line="360" w:lineRule="auto"/>
        <w:rPr>
          <w:rFonts w:asciiTheme="minorHAnsi" w:hAnsiTheme="minorHAnsi" w:cstheme="minorHAnsi"/>
        </w:rPr>
      </w:pPr>
      <w:r>
        <w:rPr>
          <w:rFonts w:asciiTheme="minorHAnsi" w:hAnsiTheme="minorHAnsi" w:cstheme="minorHAnsi"/>
        </w:rPr>
        <w:t>H</w:t>
      </w:r>
      <w:r w:rsidR="00D33839">
        <w:rPr>
          <w:rFonts w:asciiTheme="minorHAnsi" w:hAnsiTheme="minorHAnsi" w:cstheme="minorHAnsi"/>
        </w:rPr>
        <w:t>owever</w:t>
      </w:r>
      <w:r>
        <w:rPr>
          <w:rFonts w:asciiTheme="minorHAnsi" w:hAnsiTheme="minorHAnsi" w:cstheme="minorHAnsi"/>
        </w:rPr>
        <w:t>,</w:t>
      </w:r>
      <w:r w:rsidR="00D33839">
        <w:rPr>
          <w:rFonts w:asciiTheme="minorHAnsi" w:hAnsiTheme="minorHAnsi" w:cstheme="minorHAnsi"/>
        </w:rPr>
        <w:t xml:space="preserve"> through our delivery partner Bradford District and Craven Mind we allowed applicants to </w:t>
      </w:r>
      <w:r w:rsidR="00135BCC">
        <w:rPr>
          <w:rFonts w:asciiTheme="minorHAnsi" w:hAnsiTheme="minorHAnsi" w:cstheme="minorHAnsi"/>
        </w:rPr>
        <w:t>self-defined</w:t>
      </w:r>
      <w:r w:rsidR="00434B76">
        <w:rPr>
          <w:rFonts w:asciiTheme="minorHAnsi" w:hAnsiTheme="minorHAnsi" w:cstheme="minorHAnsi"/>
        </w:rPr>
        <w:t xml:space="preserve"> ethnicity</w:t>
      </w:r>
      <w:r w:rsidR="00D33839">
        <w:rPr>
          <w:rFonts w:asciiTheme="minorHAnsi" w:hAnsiTheme="minorHAnsi" w:cstheme="minorHAnsi"/>
        </w:rPr>
        <w:t xml:space="preserve"> whereas the Trust’s information is often pulled from </w:t>
      </w:r>
      <w:r w:rsidR="00434B76">
        <w:rPr>
          <w:rFonts w:asciiTheme="minorHAnsi" w:hAnsiTheme="minorHAnsi" w:cstheme="minorHAnsi"/>
        </w:rPr>
        <w:t>wider NHS records</w:t>
      </w:r>
      <w:r w:rsidR="00135BCC">
        <w:rPr>
          <w:rFonts w:asciiTheme="minorHAnsi" w:hAnsiTheme="minorHAnsi" w:cstheme="minorHAnsi"/>
        </w:rPr>
        <w:t>.</w:t>
      </w:r>
    </w:p>
    <w:p w14:paraId="735910E8" w14:textId="604EB5AD" w:rsidR="0022029C" w:rsidRPr="00BA03DE" w:rsidRDefault="00C34FA6" w:rsidP="0022029C">
      <w:pPr>
        <w:spacing w:line="360" w:lineRule="auto"/>
        <w:rPr>
          <w:rFonts w:asciiTheme="minorHAnsi" w:hAnsiTheme="minorHAnsi" w:cstheme="minorHAnsi"/>
        </w:rPr>
      </w:pPr>
      <w:r>
        <w:rPr>
          <w:rFonts w:asciiTheme="minorHAnsi" w:hAnsiTheme="minorHAnsi" w:cstheme="minorHAnsi"/>
        </w:rPr>
        <w:t>Therefore,</w:t>
      </w:r>
      <w:r w:rsidR="00434B76">
        <w:rPr>
          <w:rFonts w:asciiTheme="minorHAnsi" w:hAnsiTheme="minorHAnsi" w:cstheme="minorHAnsi"/>
        </w:rPr>
        <w:t xml:space="preserve"> when you combine the different variations and include </w:t>
      </w:r>
      <w:r>
        <w:rPr>
          <w:rFonts w:asciiTheme="minorHAnsi" w:hAnsiTheme="minorHAnsi" w:cstheme="minorHAnsi"/>
        </w:rPr>
        <w:t>the</w:t>
      </w:r>
      <w:r w:rsidR="00434B76">
        <w:rPr>
          <w:rFonts w:asciiTheme="minorHAnsi" w:hAnsiTheme="minorHAnsi" w:cstheme="minorHAnsi"/>
        </w:rPr>
        <w:t xml:space="preserve"> number of the not recorded or </w:t>
      </w:r>
      <w:r w:rsidR="004B07A9">
        <w:rPr>
          <w:rFonts w:asciiTheme="minorHAnsi" w:hAnsiTheme="minorHAnsi" w:cstheme="minorHAnsi"/>
        </w:rPr>
        <w:t xml:space="preserve">not known it gives a similar percentage to the above. Overall, it feels confident that our inpatient population has been </w:t>
      </w:r>
      <w:r w:rsidR="00135BCC">
        <w:rPr>
          <w:rFonts w:asciiTheme="minorHAnsi" w:hAnsiTheme="minorHAnsi" w:cstheme="minorHAnsi"/>
        </w:rPr>
        <w:t xml:space="preserve">fairly represented within the applications for PHBs. </w:t>
      </w:r>
    </w:p>
    <w:p w14:paraId="6B7B22A7" w14:textId="28333589" w:rsidR="002F498D" w:rsidRPr="00B404A9" w:rsidRDefault="00AE443E" w:rsidP="002F498D">
      <w:pPr>
        <w:spacing w:line="360" w:lineRule="auto"/>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t>Item</w:t>
      </w:r>
      <w:r w:rsidR="00D5770D" w:rsidRPr="00B404A9">
        <w:rPr>
          <w:rFonts w:asciiTheme="majorHAnsi" w:hAnsiTheme="majorHAnsi" w:cstheme="majorHAnsi"/>
          <w:b/>
          <w:bCs/>
          <w:color w:val="44257D"/>
          <w:sz w:val="28"/>
          <w:szCs w:val="28"/>
        </w:rPr>
        <w:t>/Services</w:t>
      </w:r>
      <w:r w:rsidRPr="00B404A9">
        <w:rPr>
          <w:rFonts w:asciiTheme="majorHAnsi" w:hAnsiTheme="majorHAnsi" w:cstheme="majorHAnsi"/>
          <w:b/>
          <w:bCs/>
          <w:color w:val="44257D"/>
          <w:sz w:val="28"/>
          <w:szCs w:val="28"/>
        </w:rPr>
        <w:t xml:space="preserve"> requested</w:t>
      </w:r>
    </w:p>
    <w:p w14:paraId="0724B4D7" w14:textId="77777777" w:rsidR="00A2581C" w:rsidRDefault="00AE443E" w:rsidP="00A2581C">
      <w:pPr>
        <w:spacing w:line="360" w:lineRule="auto"/>
      </w:pPr>
      <w:r>
        <w:t xml:space="preserve">During the </w:t>
      </w:r>
      <w:r w:rsidR="00BB509C">
        <w:t>“W</w:t>
      </w:r>
      <w:r>
        <w:t>hat matters to me</w:t>
      </w:r>
      <w:r w:rsidR="00BB509C">
        <w:t>?”</w:t>
      </w:r>
      <w:r>
        <w:t xml:space="preserve"> conversation we ask the applicant and staff to think about what items or services the individual would like to support their recovery or aid transitioning their care back into the community. </w:t>
      </w:r>
    </w:p>
    <w:p w14:paraId="37A2381D" w14:textId="551DA001" w:rsidR="00BB509C" w:rsidRDefault="00C90FB4" w:rsidP="00A2581C">
      <w:pPr>
        <w:spacing w:line="360" w:lineRule="auto"/>
      </w:pPr>
      <w:r>
        <w:t>Please note additional items may be requested but we are able to signpost to other providers who may be able to provide these goods</w:t>
      </w:r>
      <w:r w:rsidR="00BB509C">
        <w:t>.</w:t>
      </w:r>
      <w:r>
        <w:t xml:space="preserve"> </w:t>
      </w:r>
      <w:r w:rsidR="00BB509C">
        <w:t>B</w:t>
      </w:r>
      <w:r>
        <w:t>ecause of this then being available in the community it would no longer be available through a one-off personal health budget</w:t>
      </w:r>
      <w:r w:rsidR="00BB509C">
        <w:t xml:space="preserve"> as per exclusion criteria.</w:t>
      </w:r>
    </w:p>
    <w:p w14:paraId="4D9F4CC3" w14:textId="6754B49F" w:rsidR="00C90FB4" w:rsidRDefault="00C90FB4" w:rsidP="002F498D">
      <w:pPr>
        <w:spacing w:line="360" w:lineRule="auto"/>
      </w:pPr>
      <w:r>
        <w:t>We highlight where we had made additional community referrals later in this document.</w:t>
      </w:r>
    </w:p>
    <w:p w14:paraId="27A0A6D5" w14:textId="77777777" w:rsidR="00AD7740" w:rsidRDefault="00AD7740" w:rsidP="002F498D">
      <w:pPr>
        <w:spacing w:line="360" w:lineRule="auto"/>
      </w:pPr>
    </w:p>
    <w:p w14:paraId="2F95108C" w14:textId="77777777" w:rsidR="00AD7740" w:rsidRDefault="00AD7740" w:rsidP="002F498D">
      <w:pPr>
        <w:spacing w:line="360" w:lineRule="auto"/>
      </w:pPr>
    </w:p>
    <w:p w14:paraId="50370D13" w14:textId="77777777" w:rsidR="00AD7740" w:rsidRDefault="00AD7740" w:rsidP="002F498D">
      <w:pPr>
        <w:spacing w:line="360" w:lineRule="auto"/>
      </w:pPr>
    </w:p>
    <w:p w14:paraId="19F268FA" w14:textId="77777777" w:rsidR="00AD7740" w:rsidRDefault="00AD7740" w:rsidP="002F498D">
      <w:pPr>
        <w:spacing w:line="360" w:lineRule="auto"/>
      </w:pPr>
    </w:p>
    <w:p w14:paraId="6154E97B" w14:textId="77777777" w:rsidR="00AD7740" w:rsidRDefault="00AD7740" w:rsidP="002F498D">
      <w:pPr>
        <w:spacing w:line="360" w:lineRule="auto"/>
      </w:pPr>
    </w:p>
    <w:p w14:paraId="0E98AB70" w14:textId="77777777" w:rsidR="00AD7740" w:rsidRDefault="00AD7740" w:rsidP="002F498D">
      <w:pPr>
        <w:spacing w:line="360" w:lineRule="auto"/>
      </w:pPr>
    </w:p>
    <w:p w14:paraId="18DDCE72" w14:textId="77777777" w:rsidR="00AD7740" w:rsidRDefault="00AD7740" w:rsidP="002F498D">
      <w:pPr>
        <w:spacing w:line="360" w:lineRule="auto"/>
      </w:pPr>
    </w:p>
    <w:p w14:paraId="5CC781A6" w14:textId="77777777" w:rsidR="00AD7740" w:rsidRDefault="00AD7740" w:rsidP="002F498D">
      <w:pPr>
        <w:spacing w:line="360" w:lineRule="auto"/>
      </w:pPr>
    </w:p>
    <w:p w14:paraId="774F098E" w14:textId="77777777" w:rsidR="00AD7740" w:rsidRDefault="00AD7740" w:rsidP="002F498D">
      <w:pPr>
        <w:spacing w:line="360" w:lineRule="auto"/>
      </w:pPr>
    </w:p>
    <w:p w14:paraId="64C287F0" w14:textId="77777777" w:rsidR="00AD7740" w:rsidRDefault="00AD7740" w:rsidP="002F498D">
      <w:pPr>
        <w:spacing w:line="360" w:lineRule="auto"/>
      </w:pPr>
    </w:p>
    <w:p w14:paraId="38EBCAF8" w14:textId="77777777" w:rsidR="00AD7740" w:rsidRDefault="00AD7740" w:rsidP="00AD7740">
      <w:pPr>
        <w:spacing w:line="360" w:lineRule="auto"/>
      </w:pPr>
      <w:r>
        <w:lastRenderedPageBreak/>
        <w:t xml:space="preserve">The table below identifies the types of items being requested for through a one-off mental health personal health budget. </w:t>
      </w:r>
    </w:p>
    <w:p w14:paraId="7DCCE7F6" w14:textId="77777777" w:rsidR="00AD7740" w:rsidRDefault="00AD7740" w:rsidP="002F498D">
      <w:pPr>
        <w:spacing w:line="360" w:lineRule="auto"/>
      </w:pPr>
    </w:p>
    <w:p w14:paraId="317EA476" w14:textId="097605D0" w:rsidR="00C90FB4" w:rsidRDefault="00C90FB4" w:rsidP="002F498D">
      <w:pPr>
        <w:spacing w:line="360" w:lineRule="auto"/>
      </w:pPr>
      <w:r>
        <w:rPr>
          <w:noProof/>
        </w:rPr>
        <w:drawing>
          <wp:inline distT="0" distB="0" distL="0" distR="0" wp14:anchorId="7D6FE90E" wp14:editId="6D4A0529">
            <wp:extent cx="6753860" cy="3609975"/>
            <wp:effectExtent l="0" t="0" r="8890" b="9525"/>
            <wp:docPr id="816668730" name="Chart 1" descr="Amount of requests for specific items in personal health budget applications&#10;">
              <a:extLst xmlns:a="http://schemas.openxmlformats.org/drawingml/2006/main">
                <a:ext uri="{FF2B5EF4-FFF2-40B4-BE49-F238E27FC236}">
                  <a16:creationId xmlns:a16="http://schemas.microsoft.com/office/drawing/2014/main" id="{88A44D19-5807-0CFF-9498-6E04D2AD5C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42280D" w14:textId="769CA8E5" w:rsidR="0022029C" w:rsidRDefault="003E2FFF" w:rsidP="002F498D">
      <w:pPr>
        <w:spacing w:line="360" w:lineRule="auto"/>
      </w:pPr>
      <w:r>
        <w:t>The table highlighted some key information</w:t>
      </w:r>
      <w:r w:rsidR="00631FAB">
        <w:t xml:space="preserve"> around what mattered to applicants, the key themes suggested high levels of white good</w:t>
      </w:r>
      <w:r w:rsidR="00807AA2">
        <w:t>s</w:t>
      </w:r>
      <w:r w:rsidR="00631FAB">
        <w:t>, furniture poverty, clothing</w:t>
      </w:r>
      <w:r w:rsidR="00E13C39">
        <w:t>, mobile</w:t>
      </w:r>
      <w:r w:rsidR="00807AA2">
        <w:t xml:space="preserve"> </w:t>
      </w:r>
      <w:proofErr w:type="gramStart"/>
      <w:r w:rsidR="00807AA2">
        <w:t>phones</w:t>
      </w:r>
      <w:proofErr w:type="gramEnd"/>
      <w:r w:rsidR="00807AA2">
        <w:t xml:space="preserve"> </w:t>
      </w:r>
      <w:r w:rsidR="00E13C39">
        <w:t xml:space="preserve">and digital </w:t>
      </w:r>
      <w:r w:rsidR="0025630E">
        <w:t>items.</w:t>
      </w:r>
    </w:p>
    <w:p w14:paraId="09CDF3F5" w14:textId="5196F3EE" w:rsidR="00743691" w:rsidRPr="00B404A9" w:rsidRDefault="00743691" w:rsidP="00743691">
      <w:pPr>
        <w:spacing w:line="360" w:lineRule="auto"/>
        <w:rPr>
          <w:b/>
          <w:bCs/>
          <w:color w:val="44257D"/>
          <w:sz w:val="28"/>
          <w:szCs w:val="28"/>
        </w:rPr>
      </w:pPr>
      <w:r w:rsidRPr="00B404A9">
        <w:rPr>
          <w:b/>
          <w:bCs/>
          <w:color w:val="44257D"/>
          <w:sz w:val="28"/>
          <w:szCs w:val="28"/>
        </w:rPr>
        <w:t xml:space="preserve">Cost of </w:t>
      </w:r>
      <w:r w:rsidR="00874998" w:rsidRPr="00B404A9">
        <w:rPr>
          <w:b/>
          <w:bCs/>
          <w:color w:val="44257D"/>
          <w:sz w:val="28"/>
          <w:szCs w:val="28"/>
        </w:rPr>
        <w:t>goods/item/services requested in a PHB</w:t>
      </w:r>
    </w:p>
    <w:p w14:paraId="46C4DB4E" w14:textId="4D7E1A59" w:rsidR="00330D04" w:rsidRPr="00874998" w:rsidRDefault="001B3EA9" w:rsidP="002F498D">
      <w:pPr>
        <w:spacing w:line="360" w:lineRule="auto"/>
        <w:rPr>
          <w:rFonts w:asciiTheme="minorHAnsi" w:hAnsiTheme="minorHAnsi" w:cstheme="minorHAnsi"/>
        </w:rPr>
      </w:pPr>
      <w:r>
        <w:rPr>
          <w:rFonts w:asciiTheme="minorHAnsi" w:hAnsiTheme="minorHAnsi" w:cstheme="minorHAnsi"/>
        </w:rPr>
        <w:t xml:space="preserve">As each PHB is designed to an individual’s wants and needs each application can ask for unique items at varying costs, during our pilot period the cost of applications varied between </w:t>
      </w:r>
      <w:r w:rsidR="006B3599">
        <w:rPr>
          <w:rFonts w:asciiTheme="minorHAnsi" w:hAnsiTheme="minorHAnsi" w:cstheme="minorHAnsi"/>
        </w:rPr>
        <w:t xml:space="preserve">£16.99 to </w:t>
      </w:r>
      <w:r w:rsidR="00330D04">
        <w:rPr>
          <w:rFonts w:asciiTheme="minorHAnsi" w:hAnsiTheme="minorHAnsi" w:cstheme="minorHAnsi"/>
        </w:rPr>
        <w:t>£775.48 with an average cost of £226.03.</w:t>
      </w:r>
    </w:p>
    <w:p w14:paraId="072F105C" w14:textId="73DA4DD2" w:rsidR="00C90FB4" w:rsidRPr="00B404A9" w:rsidRDefault="00C90FB4" w:rsidP="002F498D">
      <w:pPr>
        <w:spacing w:line="360" w:lineRule="auto"/>
        <w:rPr>
          <w:b/>
          <w:bCs/>
          <w:color w:val="44257D"/>
          <w:sz w:val="28"/>
          <w:szCs w:val="28"/>
        </w:rPr>
      </w:pPr>
      <w:r w:rsidRPr="00B404A9">
        <w:rPr>
          <w:b/>
          <w:bCs/>
          <w:color w:val="44257D"/>
          <w:sz w:val="28"/>
          <w:szCs w:val="28"/>
        </w:rPr>
        <w:t>Additional signposting/community support</w:t>
      </w:r>
    </w:p>
    <w:p w14:paraId="1F03F95E" w14:textId="77777777" w:rsidR="007A32A0" w:rsidRDefault="008810A7" w:rsidP="002F498D">
      <w:pPr>
        <w:spacing w:line="360" w:lineRule="auto"/>
      </w:pPr>
      <w:r>
        <w:t xml:space="preserve">One of the fundamental elements of our pilot was to provide some education to applicants of what community resources are available to them to help support them within their communities. </w:t>
      </w:r>
    </w:p>
    <w:p w14:paraId="31803A67" w14:textId="50811218" w:rsidR="00B404A9" w:rsidRDefault="008810A7" w:rsidP="002F498D">
      <w:pPr>
        <w:spacing w:line="360" w:lineRule="auto"/>
      </w:pPr>
      <w:r>
        <w:t xml:space="preserve">Whilst this is often delivered by our delivery partner </w:t>
      </w:r>
      <w:r w:rsidR="00530D92">
        <w:t>Bradford District and Craven Mind</w:t>
      </w:r>
      <w:r>
        <w:t xml:space="preserve">, </w:t>
      </w:r>
      <w:r w:rsidR="007A32A0">
        <w:t xml:space="preserve">at the point of application our approval and evaluation team review the </w:t>
      </w:r>
      <w:r w:rsidR="00F36563">
        <w:t>“</w:t>
      </w:r>
      <w:r w:rsidR="00BB509C">
        <w:t>W</w:t>
      </w:r>
      <w:r w:rsidR="007A32A0">
        <w:t>hat matters to me</w:t>
      </w:r>
      <w:r w:rsidR="00BB509C">
        <w:t>?</w:t>
      </w:r>
      <w:r w:rsidR="00F36563">
        <w:t>”</w:t>
      </w:r>
      <w:r w:rsidR="00BB509C">
        <w:t xml:space="preserve"> </w:t>
      </w:r>
      <w:r w:rsidR="007A32A0">
        <w:t xml:space="preserve">conversation document, this helps us find additional signposting which often required support from either inpatient or community staff. </w:t>
      </w:r>
    </w:p>
    <w:p w14:paraId="5909B2D5" w14:textId="44902A8D" w:rsidR="00E83B1B" w:rsidRDefault="007A32A0" w:rsidP="002F498D">
      <w:pPr>
        <w:spacing w:line="360" w:lineRule="auto"/>
      </w:pPr>
      <w:r>
        <w:lastRenderedPageBreak/>
        <w:t xml:space="preserve">The table below </w:t>
      </w:r>
      <w:r w:rsidR="00745D68">
        <w:t>summarises</w:t>
      </w:r>
      <w:r>
        <w:t xml:space="preserve"> </w:t>
      </w:r>
      <w:r w:rsidR="00A209BB">
        <w:t xml:space="preserve">where we have suggested additional signposting or support as part of the approvals process. </w:t>
      </w:r>
      <w:r w:rsidR="00F36563">
        <w:t>This includes signposting and referrals from our approval and evaluation team in addition to the signposting provided by Bradford District and Craven Mind.</w:t>
      </w:r>
      <w:r w:rsidR="000A79B9">
        <w:t xml:space="preserve"> During the pilot period 559 referrals and signposting to other services were provided to the 110 PHB </w:t>
      </w:r>
      <w:r w:rsidR="00330D04">
        <w:t>applicants</w:t>
      </w:r>
      <w:r w:rsidR="000A79B9">
        <w:t>.</w:t>
      </w:r>
    </w:p>
    <w:p w14:paraId="32F798EB" w14:textId="5758F5FE" w:rsidR="00E83B1B" w:rsidRDefault="00555CE2" w:rsidP="002F498D">
      <w:pPr>
        <w:spacing w:line="360" w:lineRule="auto"/>
      </w:pPr>
      <w:r>
        <w:rPr>
          <w:noProof/>
        </w:rPr>
        <w:drawing>
          <wp:inline distT="0" distB="0" distL="0" distR="0" wp14:anchorId="4024A570" wp14:editId="34FB0730">
            <wp:extent cx="6754483" cy="3314700"/>
            <wp:effectExtent l="0" t="0" r="8890" b="0"/>
            <wp:docPr id="1760337324" name="Chart 1" descr="Additional signposting to other services ">
              <a:extLst xmlns:a="http://schemas.openxmlformats.org/drawingml/2006/main">
                <a:ext uri="{FF2B5EF4-FFF2-40B4-BE49-F238E27FC236}">
                  <a16:creationId xmlns:a16="http://schemas.microsoft.com/office/drawing/2014/main" id="{FE92CF71-263A-E7A6-6CEE-F40384E9E9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BA5A33" w14:textId="28DB2168" w:rsidR="00B404A9" w:rsidRDefault="0025630E" w:rsidP="002F498D">
      <w:pPr>
        <w:spacing w:line="360" w:lineRule="auto"/>
      </w:pPr>
      <w:r>
        <w:t xml:space="preserve">The table shows that in addition to the item requested that many people identified support with their physical </w:t>
      </w:r>
      <w:r w:rsidR="00212CEC">
        <w:t xml:space="preserve">health, </w:t>
      </w:r>
      <w:r w:rsidR="009E291E">
        <w:t>employment or vocational suppor</w:t>
      </w:r>
      <w:r w:rsidR="006D3F6A">
        <w:t xml:space="preserve">t and support for white goods </w:t>
      </w:r>
      <w:r w:rsidR="00105F6C">
        <w:t>were important to them.</w:t>
      </w:r>
      <w:r w:rsidR="00EF1090">
        <w:t xml:space="preserve"> (Mental health crisis and non-crisis signposting was provided to most individuals due to them leaving hospital </w:t>
      </w:r>
      <w:r w:rsidR="00174F57">
        <w:t>therefore we have excluded these in the summary breakdown)</w:t>
      </w:r>
    </w:p>
    <w:p w14:paraId="2209CD10" w14:textId="77777777" w:rsidR="00AD7740" w:rsidRDefault="00AD7740" w:rsidP="002F498D">
      <w:pPr>
        <w:spacing w:line="360" w:lineRule="auto"/>
      </w:pPr>
    </w:p>
    <w:p w14:paraId="175D66A9" w14:textId="77777777" w:rsidR="00AD7740" w:rsidRDefault="00AD7740" w:rsidP="002F498D">
      <w:pPr>
        <w:spacing w:line="360" w:lineRule="auto"/>
      </w:pPr>
    </w:p>
    <w:p w14:paraId="04267972" w14:textId="77777777" w:rsidR="00AD7740" w:rsidRDefault="00AD7740" w:rsidP="002F498D">
      <w:pPr>
        <w:spacing w:line="360" w:lineRule="auto"/>
      </w:pPr>
    </w:p>
    <w:p w14:paraId="5118270D" w14:textId="77777777" w:rsidR="00AD7740" w:rsidRDefault="00AD7740" w:rsidP="002F498D">
      <w:pPr>
        <w:spacing w:line="360" w:lineRule="auto"/>
      </w:pPr>
    </w:p>
    <w:p w14:paraId="3D244E9F" w14:textId="77777777" w:rsidR="00AD7740" w:rsidRDefault="00AD7740" w:rsidP="002F498D">
      <w:pPr>
        <w:spacing w:line="360" w:lineRule="auto"/>
      </w:pPr>
    </w:p>
    <w:p w14:paraId="68B50E34" w14:textId="77777777" w:rsidR="00AD7740" w:rsidRDefault="00AD7740" w:rsidP="002F498D">
      <w:pPr>
        <w:spacing w:line="360" w:lineRule="auto"/>
      </w:pPr>
    </w:p>
    <w:p w14:paraId="58EE0208" w14:textId="77777777" w:rsidR="00AD7740" w:rsidRDefault="00AD7740" w:rsidP="002F498D">
      <w:pPr>
        <w:spacing w:line="360" w:lineRule="auto"/>
      </w:pPr>
    </w:p>
    <w:p w14:paraId="324EEAC0" w14:textId="74D998A6" w:rsidR="00EC323F" w:rsidRDefault="00BE5B2F" w:rsidP="002F498D">
      <w:pPr>
        <w:spacing w:line="360" w:lineRule="auto"/>
      </w:pPr>
      <w:r>
        <w:lastRenderedPageBreak/>
        <w:t>Below is a version of the above information but without the information being grouped highlighting some of the more specific providers</w:t>
      </w:r>
      <w:r w:rsidR="0043282C">
        <w:t xml:space="preserve">. </w:t>
      </w:r>
    </w:p>
    <w:p w14:paraId="7C2736F8" w14:textId="365AC153" w:rsidR="00EC323F" w:rsidRDefault="00EC323F" w:rsidP="002F498D">
      <w:pPr>
        <w:spacing w:line="360" w:lineRule="auto"/>
      </w:pPr>
      <w:r>
        <w:rPr>
          <w:noProof/>
        </w:rPr>
        <w:drawing>
          <wp:inline distT="0" distB="0" distL="0" distR="0" wp14:anchorId="52B75E99" wp14:editId="54A96233">
            <wp:extent cx="6763109" cy="7017385"/>
            <wp:effectExtent l="0" t="0" r="0" b="12065"/>
            <wp:docPr id="1016105458" name="Chart 1" descr="Specific providers ie services like SMILE, Safe Spaces, Well Together and more,">
              <a:extLst xmlns:a="http://schemas.openxmlformats.org/drawingml/2006/main">
                <a:ext uri="{FF2B5EF4-FFF2-40B4-BE49-F238E27FC236}">
                  <a16:creationId xmlns:a16="http://schemas.microsoft.com/office/drawing/2014/main" id="{C1ED0493-25CB-D1AE-F8D0-51AFBB951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6181D1" w14:textId="3B61368B" w:rsidR="00034C9A" w:rsidRDefault="00105F6C" w:rsidP="002F498D">
      <w:pPr>
        <w:spacing w:line="360" w:lineRule="auto"/>
      </w:pPr>
      <w:r>
        <w:t>The table shows</w:t>
      </w:r>
      <w:r w:rsidR="003B309F">
        <w:t xml:space="preserve"> the key areas</w:t>
      </w:r>
      <w:r>
        <w:t xml:space="preserve"> that applicants identified support </w:t>
      </w:r>
      <w:r w:rsidR="003B309F">
        <w:t>to improve</w:t>
      </w:r>
      <w:r>
        <w:t xml:space="preserve"> their physical exercise,</w:t>
      </w:r>
      <w:r w:rsidR="00DA024A">
        <w:t xml:space="preserve"> employment support and</w:t>
      </w:r>
      <w:r w:rsidR="00EC323F" w:rsidRPr="00EC323F">
        <w:t xml:space="preserve"> </w:t>
      </w:r>
      <w:r w:rsidR="00EC323F">
        <w:t>support with housing/food were important factors to help support transitioning back into community services.</w:t>
      </w:r>
      <w:r w:rsidR="00DA024A">
        <w:t xml:space="preserve"> </w:t>
      </w:r>
    </w:p>
    <w:p w14:paraId="255DFBF0" w14:textId="7898A54B" w:rsidR="00105F6C" w:rsidRDefault="00FE2FA9" w:rsidP="002F498D">
      <w:pPr>
        <w:spacing w:line="360" w:lineRule="auto"/>
      </w:pPr>
      <w:r>
        <w:lastRenderedPageBreak/>
        <w:t xml:space="preserve">This </w:t>
      </w:r>
      <w:r w:rsidR="00034C9A">
        <w:t>allowed</w:t>
      </w:r>
      <w:r>
        <w:t xml:space="preserve"> us</w:t>
      </w:r>
      <w:r w:rsidR="001306E1">
        <w:t xml:space="preserve"> to</w:t>
      </w:r>
      <w:r>
        <w:t xml:space="preserve"> support pieces of work across the Bradford District and Craven Health and Care Partnership in supporting discussions around tenancy breakdowns, tenancy support, benefits support and </w:t>
      </w:r>
      <w:r w:rsidR="00034C9A">
        <w:t>access to food/clothing closing the gap</w:t>
      </w:r>
      <w:r w:rsidR="0045798A">
        <w:t xml:space="preserve"> and</w:t>
      </w:r>
      <w:r w:rsidR="00FE60FB">
        <w:t xml:space="preserve"> to</w:t>
      </w:r>
      <w:r w:rsidR="0045798A">
        <w:t xml:space="preserve"> </w:t>
      </w:r>
      <w:r w:rsidR="00FE60FB">
        <w:t>‘A</w:t>
      </w:r>
      <w:r w:rsidR="0045798A">
        <w:t xml:space="preserve">ct </w:t>
      </w:r>
      <w:proofErr w:type="gramStart"/>
      <w:r w:rsidR="00FE60FB">
        <w:t>A</w:t>
      </w:r>
      <w:r w:rsidR="0045798A">
        <w:t>s</w:t>
      </w:r>
      <w:proofErr w:type="gramEnd"/>
      <w:r w:rsidR="0045798A">
        <w:t xml:space="preserve"> </w:t>
      </w:r>
      <w:r w:rsidR="00FE60FB">
        <w:t>O</w:t>
      </w:r>
      <w:r w:rsidR="0045798A">
        <w:t>ne</w:t>
      </w:r>
      <w:r w:rsidR="00FE60FB">
        <w:t>’</w:t>
      </w:r>
      <w:r w:rsidR="00034C9A">
        <w:t xml:space="preserve"> on key </w:t>
      </w:r>
      <w:r w:rsidR="0045798A">
        <w:t>disparities</w:t>
      </w:r>
      <w:r w:rsidR="00034C9A">
        <w:t xml:space="preserve"> for those with mental health conditions</w:t>
      </w:r>
      <w:r w:rsidR="0045798A">
        <w:t>, neurodiversity or learning disabilities compared to the general population.</w:t>
      </w:r>
    </w:p>
    <w:p w14:paraId="4E58390A" w14:textId="27CE6044" w:rsidR="00FD45B5" w:rsidRDefault="0043282C" w:rsidP="002F498D">
      <w:pPr>
        <w:spacing w:line="360" w:lineRule="auto"/>
      </w:pPr>
      <w:r>
        <w:t xml:space="preserve">One of the key aspects in addition to this is that referring staff from Bradford District Care NHS Foundation Trust </w:t>
      </w:r>
      <w:r w:rsidR="00CA3FF8">
        <w:t>have</w:t>
      </w:r>
      <w:r>
        <w:t xml:space="preserve"> access to our Connect page. This provides a directory of community </w:t>
      </w:r>
      <w:r w:rsidR="00BB509C">
        <w:t>resources;</w:t>
      </w:r>
      <w:r>
        <w:t xml:space="preserve"> we reference this in each approved application</w:t>
      </w:r>
      <w:r w:rsidR="00FD45B5">
        <w:t>.</w:t>
      </w:r>
      <w:r w:rsidR="00BB509C">
        <w:t xml:space="preserve"> Therefore,</w:t>
      </w:r>
      <w:r>
        <w:t xml:space="preserve"> additional signposting will be accessed through this page. </w:t>
      </w:r>
    </w:p>
    <w:p w14:paraId="08377DD2" w14:textId="74F06B75" w:rsidR="00DA5C3A" w:rsidRDefault="0043282C" w:rsidP="002F498D">
      <w:pPr>
        <w:spacing w:line="360" w:lineRule="auto"/>
      </w:pPr>
      <w:r>
        <w:t xml:space="preserve">During February 2024 </w:t>
      </w:r>
      <w:r w:rsidR="00C82DB3">
        <w:t xml:space="preserve">until July 2024 </w:t>
      </w:r>
      <w:r w:rsidR="00034A4E">
        <w:t xml:space="preserve">the signposting page was viewed 273 times by </w:t>
      </w:r>
      <w:r w:rsidR="00FD45B5">
        <w:t>64 unique visitors. This is based on the page analytics provided by Microsoft.</w:t>
      </w:r>
    </w:p>
    <w:p w14:paraId="5999172B" w14:textId="582C8544" w:rsidR="00DA5C3A" w:rsidRPr="00B404A9" w:rsidRDefault="00DA5C3A" w:rsidP="00DA5C3A">
      <w:pPr>
        <w:spacing w:line="360" w:lineRule="auto"/>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t>Patient Reported Outcome Measures (PROMs)</w:t>
      </w:r>
    </w:p>
    <w:p w14:paraId="358B8DDB" w14:textId="1FDD63FB" w:rsidR="00DA5C3A" w:rsidRPr="00652471" w:rsidRDefault="00DA5C3A" w:rsidP="00DA5C3A">
      <w:pPr>
        <w:spacing w:line="360" w:lineRule="auto"/>
      </w:pPr>
      <w:r w:rsidRPr="00652471">
        <w:t>During this pilot we have been using the Rec</w:t>
      </w:r>
      <w:r w:rsidR="00777A5E" w:rsidRPr="00652471">
        <w:t xml:space="preserve">overing Quality of Life </w:t>
      </w:r>
      <w:r w:rsidR="004A6B07" w:rsidRPr="00652471">
        <w:t xml:space="preserve">10 item scale (ReQoL-10) as our primary outcome measure with patients. </w:t>
      </w:r>
    </w:p>
    <w:p w14:paraId="4B89C9C9" w14:textId="22D018FF" w:rsidR="004A6B07" w:rsidRPr="00652471" w:rsidRDefault="004A6B07" w:rsidP="00DA5C3A">
      <w:pPr>
        <w:spacing w:line="360" w:lineRule="auto"/>
      </w:pPr>
      <w:r w:rsidRPr="00652471">
        <w:t xml:space="preserve">Additionally, our delivery partner </w:t>
      </w:r>
      <w:r w:rsidR="00530D92" w:rsidRPr="00652471">
        <w:t>Bradford District and Craven Mind</w:t>
      </w:r>
      <w:r w:rsidRPr="00652471">
        <w:t xml:space="preserve"> have offered a revised version of Goals Based Outcome</w:t>
      </w:r>
      <w:r w:rsidR="00AB693F">
        <w:t xml:space="preserve"> (GBO)</w:t>
      </w:r>
      <w:r w:rsidRPr="00652471">
        <w:t xml:space="preserve"> as an additional measure.</w:t>
      </w:r>
    </w:p>
    <w:p w14:paraId="283E6F5F" w14:textId="6F438A7E" w:rsidR="004A6B07" w:rsidRPr="00652471" w:rsidRDefault="004A6B07" w:rsidP="00DA5C3A">
      <w:pPr>
        <w:spacing w:line="360" w:lineRule="auto"/>
      </w:pPr>
      <w:r w:rsidRPr="00652471">
        <w:t xml:space="preserve">Every applicant has also had the opportunity to verbally share their experience both to our delivery partner </w:t>
      </w:r>
      <w:r w:rsidR="00530D92" w:rsidRPr="00652471">
        <w:t>Bradford District and Craven Mind</w:t>
      </w:r>
      <w:r w:rsidRPr="00652471">
        <w:t xml:space="preserve"> but also with ourselves as commissioner at Bradford District Care NHS Foundation Trust. </w:t>
      </w:r>
    </w:p>
    <w:p w14:paraId="3C2717B4" w14:textId="77242CE8" w:rsidR="00414A5B" w:rsidRPr="00B404A9" w:rsidRDefault="00414A5B" w:rsidP="00DA5C3A">
      <w:pPr>
        <w:spacing w:line="360" w:lineRule="auto"/>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t>ReQoL-10</w:t>
      </w:r>
    </w:p>
    <w:p w14:paraId="4F82BE17" w14:textId="77777777" w:rsidR="001F393E" w:rsidRPr="00652471" w:rsidRDefault="00BF16AA" w:rsidP="00DA5C3A">
      <w:pPr>
        <w:spacing w:line="360" w:lineRule="auto"/>
      </w:pPr>
      <w:r w:rsidRPr="00652471">
        <w:t xml:space="preserve">In addition to the what matters to me conversation we have asked staff to support patients to complete the ReQoL-10 outcome measure. </w:t>
      </w:r>
    </w:p>
    <w:p w14:paraId="267426CC" w14:textId="6A1F3476" w:rsidR="00414A5B" w:rsidRPr="00652471" w:rsidRDefault="00BF16AA" w:rsidP="00DA5C3A">
      <w:pPr>
        <w:spacing w:line="360" w:lineRule="auto"/>
      </w:pPr>
      <w:r w:rsidRPr="00652471">
        <w:t xml:space="preserve">This asks 11 questions focused on 6 social areas </w:t>
      </w:r>
      <w:r w:rsidR="001F393E" w:rsidRPr="00652471">
        <w:t xml:space="preserve">also a question about </w:t>
      </w:r>
      <w:r w:rsidRPr="00652471">
        <w:t>physical health. The scores from the</w:t>
      </w:r>
      <w:r w:rsidR="003379F9" w:rsidRPr="00652471">
        <w:t xml:space="preserve"> first 10 questions which relate to the 6 social areas provide a score between 0 and 40, where 0 indicates </w:t>
      </w:r>
      <w:r w:rsidR="001F393E" w:rsidRPr="00652471">
        <w:t>poor experiences and 40 represents positive engagement.</w:t>
      </w:r>
    </w:p>
    <w:p w14:paraId="278C53D2" w14:textId="15A4361D" w:rsidR="001F393E" w:rsidRPr="00652471" w:rsidRDefault="004C6EAA" w:rsidP="00DA5C3A">
      <w:pPr>
        <w:spacing w:line="360" w:lineRule="auto"/>
      </w:pPr>
      <w:r w:rsidRPr="00652471">
        <w:t xml:space="preserve">Following the personal health budget and associated interventions by the </w:t>
      </w:r>
      <w:r w:rsidR="00530D92" w:rsidRPr="00652471">
        <w:t>Bradford District and Craven Mind</w:t>
      </w:r>
      <w:r w:rsidRPr="00652471">
        <w:t xml:space="preserve"> practitioner a member of the approval and evaluation panel has been attempting to collect a second ReQoL-10 score. </w:t>
      </w:r>
    </w:p>
    <w:p w14:paraId="72351754" w14:textId="77777777" w:rsidR="00147BEE" w:rsidRPr="00652471" w:rsidRDefault="004C6EAA" w:rsidP="00DA5C3A">
      <w:pPr>
        <w:spacing w:line="360" w:lineRule="auto"/>
      </w:pPr>
      <w:r w:rsidRPr="00652471">
        <w:lastRenderedPageBreak/>
        <w:t xml:space="preserve">We </w:t>
      </w:r>
      <w:r w:rsidR="003B7EA8" w:rsidRPr="00652471">
        <w:t>can</w:t>
      </w:r>
      <w:r w:rsidRPr="00652471">
        <w:t xml:space="preserve"> compare the scores to see </w:t>
      </w:r>
      <w:r w:rsidR="003B7EA8" w:rsidRPr="00652471">
        <w:t>improvement has occurred. Initially this was based purely on the overall score generated from the first 10 questions.</w:t>
      </w:r>
    </w:p>
    <w:p w14:paraId="22D314DA" w14:textId="46895AF1" w:rsidR="004C6EAA" w:rsidRPr="00652471" w:rsidRDefault="00147BEE" w:rsidP="00DA5C3A">
      <w:pPr>
        <w:spacing w:line="360" w:lineRule="auto"/>
      </w:pPr>
      <w:r w:rsidRPr="00652471">
        <w:t xml:space="preserve">During the pilot period we reviewed the University of Sheffield’s website as they supported the creation of ReQoL-10 around </w:t>
      </w:r>
      <w:r w:rsidR="00E23129" w:rsidRPr="00652471">
        <w:t>accessibility in other languages (currently NHS England are securing the licensing rights for this), but we came across the ReQoL</w:t>
      </w:r>
      <w:r w:rsidR="00BF4F54" w:rsidRPr="00652471">
        <w:t>-10</w:t>
      </w:r>
      <w:r w:rsidR="00E23129" w:rsidRPr="00652471">
        <w:t xml:space="preserve"> bubbles, this is a type of </w:t>
      </w:r>
      <w:r w:rsidR="00B473ED" w:rsidRPr="00652471">
        <w:t>visualisation</w:t>
      </w:r>
      <w:r w:rsidR="00E23129" w:rsidRPr="00652471">
        <w:t xml:space="preserve"> tool which groups the 10 questions </w:t>
      </w:r>
      <w:r w:rsidR="00B473ED" w:rsidRPr="00652471">
        <w:t xml:space="preserve">into 6 </w:t>
      </w:r>
      <w:r w:rsidR="00D35545" w:rsidRPr="00652471">
        <w:t>theme</w:t>
      </w:r>
      <w:r w:rsidR="00D824B0" w:rsidRPr="00652471">
        <w:t>s.</w:t>
      </w:r>
    </w:p>
    <w:p w14:paraId="17A3E6B2" w14:textId="75646B0F" w:rsidR="00D824B0" w:rsidRPr="00652471" w:rsidRDefault="00D824B0" w:rsidP="00DA5C3A">
      <w:pPr>
        <w:spacing w:line="360" w:lineRule="auto"/>
      </w:pPr>
      <w:r w:rsidRPr="00652471">
        <w:t xml:space="preserve">Not all applications for a PHB have a ReQoL-10 score, this is due to </w:t>
      </w:r>
      <w:r w:rsidR="00BB05B1" w:rsidRPr="00652471">
        <w:t>several</w:t>
      </w:r>
      <w:r w:rsidRPr="00652471">
        <w:t xml:space="preserve"> reasons which include the </w:t>
      </w:r>
      <w:r w:rsidR="00C77F7B" w:rsidRPr="00652471">
        <w:t>patient’s</w:t>
      </w:r>
      <w:r w:rsidRPr="00652471">
        <w:t xml:space="preserve"> acuity at time of application, patient’s</w:t>
      </w:r>
      <w:r w:rsidR="00423DA7">
        <w:t xml:space="preserve"> </w:t>
      </w:r>
      <w:proofErr w:type="gramStart"/>
      <w:r w:rsidR="00BC6710">
        <w:t>engagement</w:t>
      </w:r>
      <w:proofErr w:type="gramEnd"/>
      <w:r w:rsidRPr="00652471">
        <w:t xml:space="preserve"> </w:t>
      </w:r>
      <w:r w:rsidR="00BB05B1" w:rsidRPr="00652471">
        <w:t>and</w:t>
      </w:r>
      <w:r w:rsidRPr="00652471">
        <w:t xml:space="preserve"> the patient’s right to decline.</w:t>
      </w:r>
    </w:p>
    <w:p w14:paraId="1EC4BD66" w14:textId="4398DEF9" w:rsidR="004A1C29" w:rsidRPr="00652471" w:rsidRDefault="00D824B0" w:rsidP="00DA5C3A">
      <w:pPr>
        <w:spacing w:line="360" w:lineRule="auto"/>
      </w:pPr>
      <w:r w:rsidRPr="00652471">
        <w:t>For us to be able to use the score it requires a paired outcome (a second re</w:t>
      </w:r>
      <w:r w:rsidR="00C77F7B" w:rsidRPr="00652471">
        <w:t xml:space="preserve">corded score), we have had difficulties capturing </w:t>
      </w:r>
      <w:r w:rsidR="00754714">
        <w:t xml:space="preserve">the paired outcome score </w:t>
      </w:r>
      <w:r w:rsidR="00C77F7B" w:rsidRPr="00652471">
        <w:t xml:space="preserve">from people. </w:t>
      </w:r>
    </w:p>
    <w:p w14:paraId="06678793" w14:textId="2AFC9623" w:rsidR="004A1C29" w:rsidRPr="00652471" w:rsidRDefault="00BB05B1" w:rsidP="00DA5C3A">
      <w:pPr>
        <w:spacing w:line="360" w:lineRule="auto"/>
      </w:pPr>
      <w:r w:rsidRPr="00652471">
        <w:t>We invited 10</w:t>
      </w:r>
      <w:r w:rsidR="00496D4C" w:rsidRPr="00652471">
        <w:t>1</w:t>
      </w:r>
      <w:r w:rsidR="00B430F5" w:rsidRPr="00652471">
        <w:t xml:space="preserve"> applicants the opportunity to provide a second outcome and feedback, we received feedback from </w:t>
      </w:r>
      <w:r w:rsidR="00496D4C" w:rsidRPr="00652471">
        <w:t>15</w:t>
      </w:r>
      <w:r w:rsidR="004A1C29" w:rsidRPr="00652471">
        <w:t xml:space="preserve"> </w:t>
      </w:r>
      <w:r w:rsidR="00ED2FAC" w:rsidRPr="00652471">
        <w:t>individuals,</w:t>
      </w:r>
      <w:r w:rsidR="00496D4C" w:rsidRPr="00652471">
        <w:t xml:space="preserve"> but we received second outcome measures from </w:t>
      </w:r>
      <w:r w:rsidR="00ED2FAC" w:rsidRPr="00652471">
        <w:t>3</w:t>
      </w:r>
      <w:r w:rsidR="00105C34" w:rsidRPr="00652471">
        <w:t>1</w:t>
      </w:r>
      <w:r w:rsidR="00ED2FAC" w:rsidRPr="00652471">
        <w:t xml:space="preserve"> individuals, this means we have 3</w:t>
      </w:r>
      <w:r w:rsidR="00105C34" w:rsidRPr="00652471">
        <w:t>1</w:t>
      </w:r>
      <w:r w:rsidR="00ED2FAC" w:rsidRPr="00652471">
        <w:t xml:space="preserve"> paired outcomes which we can review and evaluate.</w:t>
      </w:r>
    </w:p>
    <w:p w14:paraId="0A307202" w14:textId="1076CB59" w:rsidR="00270A77" w:rsidRPr="00652471" w:rsidRDefault="004A1C29" w:rsidP="00DA5C3A">
      <w:pPr>
        <w:spacing w:line="360" w:lineRule="auto"/>
      </w:pPr>
      <w:r w:rsidRPr="00652471">
        <w:t xml:space="preserve">Below shows the </w:t>
      </w:r>
      <w:r w:rsidR="000C3926" w:rsidRPr="00652471">
        <w:t xml:space="preserve">number of paired outcomes which show where someone has improved (green), maintained (amber) or worsened (red). We have also provided this breakdown into the six themed </w:t>
      </w:r>
      <w:r w:rsidR="00BF4F54" w:rsidRPr="00652471">
        <w:t>bubbles</w:t>
      </w:r>
      <w:r w:rsidR="000C3926" w:rsidRPr="00652471">
        <w:t xml:space="preserve"> also.</w:t>
      </w:r>
    </w:p>
    <w:p w14:paraId="57EBE0B1" w14:textId="0338210D" w:rsidR="00E21B6E" w:rsidRPr="00B404A9" w:rsidRDefault="00E21B6E" w:rsidP="00DA5C3A">
      <w:pPr>
        <w:spacing w:line="360" w:lineRule="auto"/>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t>Overall</w:t>
      </w:r>
      <w:r w:rsidR="000D62C2" w:rsidRPr="00B404A9">
        <w:rPr>
          <w:rFonts w:asciiTheme="majorHAnsi" w:hAnsiTheme="majorHAnsi" w:cstheme="majorHAnsi"/>
          <w:b/>
          <w:bCs/>
          <w:color w:val="44257D"/>
          <w:sz w:val="28"/>
          <w:szCs w:val="28"/>
        </w:rPr>
        <w:t xml:space="preserve"> score</w:t>
      </w:r>
    </w:p>
    <w:p w14:paraId="56BCF58D" w14:textId="4F9ECF5C" w:rsidR="000C3926" w:rsidRDefault="00726638" w:rsidP="00DA5C3A">
      <w:pPr>
        <w:spacing w:line="360" w:lineRule="auto"/>
        <w:rPr>
          <w:color w:val="2C2640" w:themeColor="accent6" w:themeShade="40"/>
          <w:sz w:val="28"/>
          <w:szCs w:val="28"/>
        </w:rPr>
      </w:pPr>
      <w:r>
        <w:rPr>
          <w:noProof/>
          <w:color w:val="2C2640" w:themeColor="accent6" w:themeShade="40"/>
          <w:sz w:val="28"/>
          <w:szCs w:val="28"/>
        </w:rPr>
        <w:drawing>
          <wp:inline distT="0" distB="0" distL="0" distR="0" wp14:anchorId="1A85DC55" wp14:editId="54070108">
            <wp:extent cx="6771640" cy="1774208"/>
            <wp:effectExtent l="0" t="0" r="10160" b="16510"/>
            <wp:docPr id="1696713710" name="Chart 1" descr="Paired outcome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7BA88E" w14:textId="5CD8CE88" w:rsidR="00E21B6E" w:rsidRPr="00BF4F54" w:rsidRDefault="00E21B6E" w:rsidP="00BF4F54">
      <w:pPr>
        <w:spacing w:line="360" w:lineRule="auto"/>
      </w:pPr>
      <w:r w:rsidRPr="00BF4F54">
        <w:t>Of the 31 paired outcomes, 29 indi</w:t>
      </w:r>
      <w:r w:rsidR="00601344" w:rsidRPr="00BF4F54">
        <w:t>viduals improved their overall score on their second outcome measure, whilst 2 individuals scored lower on their second outcome measure.</w:t>
      </w:r>
    </w:p>
    <w:p w14:paraId="4B443799" w14:textId="24C9AA2B" w:rsidR="00DA5C3A" w:rsidRPr="00AD7740" w:rsidRDefault="000D62C2" w:rsidP="002F498D">
      <w:pPr>
        <w:spacing w:line="360" w:lineRule="auto"/>
        <w:rPr>
          <w:rFonts w:asciiTheme="majorHAnsi" w:hAnsiTheme="majorHAnsi" w:cstheme="majorHAnsi"/>
          <w:b/>
          <w:bCs/>
          <w:color w:val="2C2640" w:themeColor="accent6" w:themeShade="40"/>
          <w:sz w:val="28"/>
          <w:szCs w:val="28"/>
        </w:rPr>
      </w:pPr>
      <w:r w:rsidRPr="00B404A9">
        <w:rPr>
          <w:rFonts w:asciiTheme="majorHAnsi" w:hAnsiTheme="majorHAnsi" w:cstheme="majorHAnsi"/>
          <w:b/>
          <w:bCs/>
          <w:color w:val="44257D"/>
          <w:sz w:val="28"/>
          <w:szCs w:val="28"/>
        </w:rPr>
        <w:lastRenderedPageBreak/>
        <w:t>Bubble score</w:t>
      </w:r>
      <w:r w:rsidR="00B46311">
        <w:rPr>
          <w:noProof/>
        </w:rPr>
        <w:drawing>
          <wp:inline distT="0" distB="0" distL="0" distR="0" wp14:anchorId="127328FE" wp14:editId="77A111C2">
            <wp:extent cx="6711351" cy="2955290"/>
            <wp:effectExtent l="0" t="0" r="13335" b="16510"/>
            <wp:docPr id="1146038086" name="Chart 1" descr="Bubble score ">
              <a:extLst xmlns:a="http://schemas.openxmlformats.org/drawingml/2006/main">
                <a:ext uri="{FF2B5EF4-FFF2-40B4-BE49-F238E27FC236}">
                  <a16:creationId xmlns:a16="http://schemas.microsoft.com/office/drawing/2014/main" id="{E98E7C24-66E0-8655-FFA2-4EA08322A9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38A649" w14:textId="77777777" w:rsidR="00AD7740" w:rsidRDefault="00C611F1" w:rsidP="002F498D">
      <w:pPr>
        <w:spacing w:line="360" w:lineRule="auto"/>
      </w:pPr>
      <w:r w:rsidRPr="00BF4F54">
        <w:t>Whilst most people have improved overall, when we break down the overall scores into the ReQoL-10 social bubbles we are able to identify certain areas where individuals h</w:t>
      </w:r>
      <w:r w:rsidR="002D787D" w:rsidRPr="00BF4F54">
        <w:t xml:space="preserve">ave had more improvement than others. </w:t>
      </w:r>
    </w:p>
    <w:p w14:paraId="0DEF0C79" w14:textId="6791F388" w:rsidR="0045798A" w:rsidRPr="00BF4F54" w:rsidRDefault="002D787D" w:rsidP="002F498D">
      <w:pPr>
        <w:spacing w:line="360" w:lineRule="auto"/>
      </w:pPr>
      <w:r w:rsidRPr="00BF4F54">
        <w:t>For example, most people have felt they’ve got more choice, control and autonomy following their PHB</w:t>
      </w:r>
      <w:r w:rsidR="00C82A9A" w:rsidRPr="00BF4F54">
        <w:t xml:space="preserve"> whereas </w:t>
      </w:r>
      <w:r w:rsidR="00E80823" w:rsidRPr="00BF4F54">
        <w:t>self-perception</w:t>
      </w:r>
      <w:r w:rsidR="00C82A9A" w:rsidRPr="00BF4F54">
        <w:t xml:space="preserve">, hope and activity have had fewer improvements, this suggests that these areas where additional community support may be beneficial to boost </w:t>
      </w:r>
      <w:r w:rsidR="00E80823" w:rsidRPr="00BF4F54">
        <w:t xml:space="preserve">further </w:t>
      </w:r>
      <w:r w:rsidR="00AF53F1">
        <w:t>recovery</w:t>
      </w:r>
      <w:r w:rsidR="00E80823" w:rsidRPr="00BF4F54">
        <w:t xml:space="preserve"> in</w:t>
      </w:r>
      <w:r w:rsidR="00AF53F1">
        <w:t xml:space="preserve"> the</w:t>
      </w:r>
      <w:r w:rsidR="00E80823" w:rsidRPr="00BF4F54">
        <w:t xml:space="preserve"> future.</w:t>
      </w:r>
    </w:p>
    <w:p w14:paraId="69A09F50" w14:textId="059F9E8F" w:rsidR="0045798A" w:rsidRPr="00B404A9" w:rsidRDefault="007E6036" w:rsidP="002F498D">
      <w:pPr>
        <w:spacing w:line="360" w:lineRule="auto"/>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t xml:space="preserve">Admissions, </w:t>
      </w:r>
      <w:proofErr w:type="gramStart"/>
      <w:r w:rsidRPr="00B404A9">
        <w:rPr>
          <w:rFonts w:asciiTheme="majorHAnsi" w:hAnsiTheme="majorHAnsi" w:cstheme="majorHAnsi"/>
          <w:b/>
          <w:bCs/>
          <w:color w:val="44257D"/>
          <w:sz w:val="28"/>
          <w:szCs w:val="28"/>
        </w:rPr>
        <w:t>discharges</w:t>
      </w:r>
      <w:proofErr w:type="gramEnd"/>
      <w:r w:rsidRPr="00B404A9">
        <w:rPr>
          <w:rFonts w:asciiTheme="majorHAnsi" w:hAnsiTheme="majorHAnsi" w:cstheme="majorHAnsi"/>
          <w:b/>
          <w:bCs/>
          <w:color w:val="44257D"/>
          <w:sz w:val="28"/>
          <w:szCs w:val="28"/>
        </w:rPr>
        <w:t xml:space="preserve"> and readmissions</w:t>
      </w:r>
    </w:p>
    <w:p w14:paraId="571C961B" w14:textId="54621323" w:rsidR="007E6036" w:rsidRDefault="007E6036" w:rsidP="002F498D">
      <w:pPr>
        <w:spacing w:line="360" w:lineRule="auto"/>
        <w:rPr>
          <w:rFonts w:asciiTheme="minorHAnsi" w:hAnsiTheme="minorHAnsi" w:cstheme="minorHAnsi"/>
        </w:rPr>
      </w:pPr>
      <w:r>
        <w:rPr>
          <w:rFonts w:asciiTheme="minorHAnsi" w:hAnsiTheme="minorHAnsi" w:cstheme="minorHAnsi"/>
        </w:rPr>
        <w:t xml:space="preserve">During February 2024 and July 2024, we have been able to collect data around the number of admissions, discharges and readmissions to our acute wards and the step forward centre. We define readmission as someone returning to hospital within 28 days of discharge. </w:t>
      </w:r>
    </w:p>
    <w:p w14:paraId="5116E9FA" w14:textId="680A2F8E" w:rsidR="00C6417F" w:rsidRDefault="00C6417F" w:rsidP="00C6417F">
      <w:pPr>
        <w:pStyle w:val="ListParagraph"/>
        <w:numPr>
          <w:ilvl w:val="0"/>
          <w:numId w:val="36"/>
        </w:numPr>
        <w:spacing w:line="360" w:lineRule="auto"/>
      </w:pPr>
      <w:r>
        <w:t xml:space="preserve">During our pilot period our acute wards including </w:t>
      </w:r>
      <w:r w:rsidR="00AF53F1">
        <w:t>S</w:t>
      </w:r>
      <w:r>
        <w:t xml:space="preserve">tep </w:t>
      </w:r>
      <w:r w:rsidR="00AF53F1">
        <w:t>F</w:t>
      </w:r>
      <w:r>
        <w:t xml:space="preserve">orward </w:t>
      </w:r>
      <w:r w:rsidR="00AF53F1">
        <w:t>C</w:t>
      </w:r>
      <w:r>
        <w:t>entre had 304 admissions, 90 of these applied for a PHB (29.6%).</w:t>
      </w:r>
    </w:p>
    <w:p w14:paraId="771AFDAC" w14:textId="24F11C0C" w:rsidR="00C6417F" w:rsidRDefault="00C6417F" w:rsidP="00C6417F">
      <w:pPr>
        <w:pStyle w:val="ListParagraph"/>
        <w:numPr>
          <w:ilvl w:val="0"/>
          <w:numId w:val="36"/>
        </w:numPr>
        <w:spacing w:line="360" w:lineRule="auto"/>
      </w:pPr>
      <w:r>
        <w:t xml:space="preserve">During our pilot period our acute wards including </w:t>
      </w:r>
      <w:r w:rsidR="00AF53F1">
        <w:t>S</w:t>
      </w:r>
      <w:r>
        <w:t xml:space="preserve">tep </w:t>
      </w:r>
      <w:r w:rsidR="00AF53F1">
        <w:t>F</w:t>
      </w:r>
      <w:r>
        <w:t>orward</w:t>
      </w:r>
      <w:r w:rsidR="00AF53F1">
        <w:t xml:space="preserve"> Centre</w:t>
      </w:r>
      <w:r>
        <w:t xml:space="preserve"> had 333 discharges from hospital, 89 of these applied for a PHB (26.7%).</w:t>
      </w:r>
    </w:p>
    <w:p w14:paraId="3C05CC6D" w14:textId="3C350915" w:rsidR="00493692" w:rsidRDefault="00A8200E" w:rsidP="002F498D">
      <w:pPr>
        <w:pStyle w:val="ListParagraph"/>
        <w:numPr>
          <w:ilvl w:val="0"/>
          <w:numId w:val="36"/>
        </w:numPr>
        <w:spacing w:line="360" w:lineRule="auto"/>
      </w:pPr>
      <w:r>
        <w:t xml:space="preserve">Our 28-day readmission rate (for BDCFT acute wards including </w:t>
      </w:r>
      <w:r w:rsidR="00AF53F1">
        <w:t>S</w:t>
      </w:r>
      <w:r>
        <w:t xml:space="preserve">tep </w:t>
      </w:r>
      <w:r w:rsidR="00AF53F1">
        <w:t>F</w:t>
      </w:r>
      <w:r>
        <w:t xml:space="preserve">orward </w:t>
      </w:r>
      <w:r w:rsidR="00AF53F1">
        <w:t>C</w:t>
      </w:r>
      <w:r>
        <w:t>entre) for those who applied for a PHB was 2.2%, this includes people who did not engage with the PHB process, compared to an overall readmission rate of 6.9%, or a readmission rate of 8.6% for those who had not applied for a PHB.</w:t>
      </w:r>
    </w:p>
    <w:p w14:paraId="4EC23A00" w14:textId="77777777" w:rsidR="00B46311" w:rsidRDefault="00A8200E" w:rsidP="00A8200E">
      <w:pPr>
        <w:spacing w:line="360" w:lineRule="auto"/>
      </w:pPr>
      <w:r>
        <w:lastRenderedPageBreak/>
        <w:t>The information above helps us see how our</w:t>
      </w:r>
      <w:r w:rsidR="00D86EB8">
        <w:t xml:space="preserve"> PHB’s have been used, we can see </w:t>
      </w:r>
      <w:r w:rsidR="00E7700F">
        <w:t xml:space="preserve">roughly just over 1 in 4 inpatients have benefitted from a PHB. Of those who have had a PHB </w:t>
      </w:r>
      <w:r w:rsidR="00D75745">
        <w:t xml:space="preserve">2 individuals were readmitted to hospital within 28 days of being discharged, however only one of these individuals </w:t>
      </w:r>
      <w:r w:rsidR="00CA39FC">
        <w:t>went</w:t>
      </w:r>
      <w:r w:rsidR="00D75745">
        <w:t xml:space="preserve"> ahead with their PHB.</w:t>
      </w:r>
    </w:p>
    <w:p w14:paraId="7C57CF8F" w14:textId="0C37FC2D" w:rsidR="00CA39FC" w:rsidRDefault="00CA39FC" w:rsidP="00A8200E">
      <w:pPr>
        <w:spacing w:line="360" w:lineRule="auto"/>
      </w:pPr>
      <w:r>
        <w:t xml:space="preserve">Comparing the data to of those who have had a PHB to those who have not and the overall combined figure we can see that those who have had a PHB have had a lower readmission rate. </w:t>
      </w:r>
    </w:p>
    <w:p w14:paraId="4B4B1D24" w14:textId="6A5FBC49" w:rsidR="00A8200E" w:rsidRDefault="00CA39FC" w:rsidP="00A8200E">
      <w:pPr>
        <w:spacing w:line="360" w:lineRule="auto"/>
      </w:pPr>
      <w:r>
        <w:t>This could be due to the support offered by the item/service/good purchased by the PHB, the support offered by Bradford District and Craven Mind, the signposting and referrals given at the point of application, but it is likely a combination of the three.</w:t>
      </w:r>
    </w:p>
    <w:p w14:paraId="67CDC8CC" w14:textId="7586115E" w:rsidR="00F60D2F" w:rsidRDefault="00CA39FC" w:rsidP="00A8200E">
      <w:pPr>
        <w:spacing w:line="360" w:lineRule="auto"/>
      </w:pPr>
      <w:r>
        <w:t xml:space="preserve">The data </w:t>
      </w:r>
      <w:r w:rsidR="00B46311">
        <w:t>evidences the</w:t>
      </w:r>
      <w:r>
        <w:t xml:space="preserve"> value of wrapping support around an individual as they leave hospital, which </w:t>
      </w:r>
      <w:r w:rsidR="003C4187">
        <w:t>is one of the key focuses of th</w:t>
      </w:r>
      <w:r w:rsidR="00827718">
        <w:t xml:space="preserve">e community mental health transformation but also supports the aims of the Healthy Minds agenda which focuses on </w:t>
      </w:r>
      <w:r w:rsidR="003B7076">
        <w:t>improving support,</w:t>
      </w:r>
      <w:r w:rsidR="00650898">
        <w:t xml:space="preserve"> promoting better </w:t>
      </w:r>
      <w:proofErr w:type="gramStart"/>
      <w:r w:rsidR="00650898">
        <w:t>lives</w:t>
      </w:r>
      <w:proofErr w:type="gramEnd"/>
      <w:r w:rsidR="00650898">
        <w:t xml:space="preserve"> and respecting rights.</w:t>
      </w:r>
    </w:p>
    <w:p w14:paraId="5C7D27EA" w14:textId="5A96AECB" w:rsidR="006D563C" w:rsidRPr="00B404A9" w:rsidRDefault="006D563C" w:rsidP="006D563C">
      <w:pPr>
        <w:spacing w:line="360" w:lineRule="auto"/>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t xml:space="preserve">Supporting </w:t>
      </w:r>
      <w:r w:rsidR="00923C34" w:rsidRPr="00B404A9">
        <w:rPr>
          <w:rFonts w:asciiTheme="majorHAnsi" w:hAnsiTheme="majorHAnsi" w:cstheme="majorHAnsi"/>
          <w:b/>
          <w:bCs/>
          <w:color w:val="44257D"/>
          <w:sz w:val="28"/>
          <w:szCs w:val="28"/>
        </w:rPr>
        <w:t>to leave hospital early</w:t>
      </w:r>
    </w:p>
    <w:p w14:paraId="7717C833" w14:textId="16FCF563" w:rsidR="00650898" w:rsidRDefault="006D563C" w:rsidP="00A8200E">
      <w:pPr>
        <w:spacing w:line="360" w:lineRule="auto"/>
      </w:pPr>
      <w:r>
        <w:t>One of the key measures we have used throughout our pilot period is reviewing if a PHB help support someone</w:t>
      </w:r>
      <w:r w:rsidR="00565CA8">
        <w:t xml:space="preserve"> to</w:t>
      </w:r>
      <w:r>
        <w:t xml:space="preserve"> leave hospital earlier and </w:t>
      </w:r>
      <w:r w:rsidR="00D50DF9">
        <w:t>return to accessing support in their local community.</w:t>
      </w:r>
    </w:p>
    <w:p w14:paraId="582A44DD" w14:textId="312E53B8" w:rsidR="00D50DF9" w:rsidRDefault="00D50DF9" w:rsidP="00A8200E">
      <w:pPr>
        <w:spacing w:line="360" w:lineRule="auto"/>
      </w:pPr>
      <w:r>
        <w:t xml:space="preserve">When an inpatient applied for a PHB we asked for their expected discharge date at the point of application, we then compared this to when </w:t>
      </w:r>
      <w:r w:rsidR="00C910A3">
        <w:t xml:space="preserve">they </w:t>
      </w:r>
      <w:r w:rsidR="005D1226">
        <w:t>left</w:t>
      </w:r>
      <w:r w:rsidR="00C910A3">
        <w:t xml:space="preserve"> hospital and returned to their local community.</w:t>
      </w:r>
    </w:p>
    <w:p w14:paraId="0ECEBFE9" w14:textId="6718397A" w:rsidR="00C910A3" w:rsidRDefault="00C910A3" w:rsidP="00A8200E">
      <w:pPr>
        <w:spacing w:line="360" w:lineRule="auto"/>
      </w:pPr>
      <w:r>
        <w:t xml:space="preserve">Over the first six months of the </w:t>
      </w:r>
      <w:r w:rsidR="00867896">
        <w:t>pilot,</w:t>
      </w:r>
      <w:r>
        <w:t xml:space="preserve"> we supported </w:t>
      </w:r>
      <w:r w:rsidR="005D1226">
        <w:t xml:space="preserve">99 inpatients, </w:t>
      </w:r>
      <w:r w:rsidR="000F50F7">
        <w:t xml:space="preserve">when we compare the expected discharge date to actual discharge date there is a difference of 288 bed days. </w:t>
      </w:r>
      <w:r w:rsidR="00867896">
        <w:t xml:space="preserve">This means across the 99 patients combined they left hospital 288 days earlier than planned. This means that other patients who will have needed </w:t>
      </w:r>
      <w:r w:rsidR="00F04FB2">
        <w:t xml:space="preserve">to be in hospital would have been able to access care closer to home and reduce the likelihood of having to access a hospital bed somewhere else in the country. </w:t>
      </w:r>
    </w:p>
    <w:p w14:paraId="69DD3BD1" w14:textId="77777777" w:rsidR="00D45E11" w:rsidRDefault="00D45E11" w:rsidP="00A8200E">
      <w:pPr>
        <w:spacing w:line="360" w:lineRule="auto"/>
      </w:pPr>
    </w:p>
    <w:p w14:paraId="028C2F5A" w14:textId="77777777" w:rsidR="00D45E11" w:rsidRDefault="00D45E11" w:rsidP="00A8200E">
      <w:pPr>
        <w:spacing w:line="360" w:lineRule="auto"/>
      </w:pPr>
    </w:p>
    <w:p w14:paraId="6524B00C" w14:textId="77777777" w:rsidR="00D45E11" w:rsidRDefault="00D45E11" w:rsidP="00A8200E">
      <w:pPr>
        <w:spacing w:line="360" w:lineRule="auto"/>
      </w:pPr>
    </w:p>
    <w:p w14:paraId="6DEB1BA0" w14:textId="77777777" w:rsidR="00D45E11" w:rsidRDefault="00D45E11" w:rsidP="00A8200E">
      <w:pPr>
        <w:spacing w:line="360" w:lineRule="auto"/>
      </w:pPr>
    </w:p>
    <w:p w14:paraId="77BE8932" w14:textId="77777777" w:rsidR="00D45E11" w:rsidRDefault="00D45E11" w:rsidP="00A8200E">
      <w:pPr>
        <w:spacing w:line="360" w:lineRule="auto"/>
      </w:pPr>
    </w:p>
    <w:p w14:paraId="6AFE39C2" w14:textId="092935D8" w:rsidR="0027451E" w:rsidRPr="00B404A9" w:rsidRDefault="0027451E" w:rsidP="0027451E">
      <w:pPr>
        <w:spacing w:line="360" w:lineRule="auto"/>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lastRenderedPageBreak/>
        <w:t>Carbon emissions</w:t>
      </w:r>
    </w:p>
    <w:p w14:paraId="518C76DD" w14:textId="6EBBA4AF" w:rsidR="0027451E" w:rsidRDefault="0027451E" w:rsidP="0027451E">
      <w:pPr>
        <w:spacing w:line="360" w:lineRule="auto"/>
        <w:rPr>
          <w:rFonts w:asciiTheme="minorHAnsi" w:hAnsiTheme="minorHAnsi" w:cstheme="minorHAnsi"/>
        </w:rPr>
      </w:pPr>
      <w:r>
        <w:rPr>
          <w:rFonts w:asciiTheme="minorHAnsi" w:hAnsiTheme="minorHAnsi" w:cstheme="minorHAnsi"/>
        </w:rPr>
        <w:t xml:space="preserve">Another consideration throughout this pilot has been aimed at reducing our carbon emissions and </w:t>
      </w:r>
      <w:r w:rsidR="008210F9">
        <w:rPr>
          <w:rFonts w:asciiTheme="minorHAnsi" w:hAnsiTheme="minorHAnsi" w:cstheme="minorHAnsi"/>
        </w:rPr>
        <w:t>everyone’s</w:t>
      </w:r>
      <w:r>
        <w:rPr>
          <w:rFonts w:asciiTheme="minorHAnsi" w:hAnsiTheme="minorHAnsi" w:cstheme="minorHAnsi"/>
        </w:rPr>
        <w:t xml:space="preserve"> carbon footprint of their journey within our services.</w:t>
      </w:r>
    </w:p>
    <w:p w14:paraId="0A70A2C7" w14:textId="265A21FD" w:rsidR="0027451E" w:rsidRDefault="0027451E" w:rsidP="0027451E">
      <w:pPr>
        <w:spacing w:line="360" w:lineRule="auto"/>
        <w:rPr>
          <w:rFonts w:asciiTheme="minorHAnsi" w:hAnsiTheme="minorHAnsi" w:cstheme="minorHAnsi"/>
        </w:rPr>
      </w:pPr>
      <w:r>
        <w:rPr>
          <w:rFonts w:asciiTheme="minorHAnsi" w:hAnsiTheme="minorHAnsi" w:cstheme="minorHAnsi"/>
        </w:rPr>
        <w:t>We know that each day someone is in a mental health hospital this generates on average 9</w:t>
      </w:r>
      <w:r w:rsidR="002D4ABB">
        <w:rPr>
          <w:rFonts w:asciiTheme="minorHAnsi" w:hAnsiTheme="minorHAnsi" w:cstheme="minorHAnsi"/>
        </w:rPr>
        <w:t>7</w:t>
      </w:r>
      <w:r>
        <w:rPr>
          <w:rFonts w:asciiTheme="minorHAnsi" w:hAnsiTheme="minorHAnsi" w:cstheme="minorHAnsi"/>
        </w:rPr>
        <w:t>kg of carbon di</w:t>
      </w:r>
      <w:r w:rsidR="008210F9">
        <w:rPr>
          <w:rFonts w:asciiTheme="minorHAnsi" w:hAnsiTheme="minorHAnsi" w:cstheme="minorHAnsi"/>
        </w:rPr>
        <w:t>oxide.</w:t>
      </w:r>
      <w:r w:rsidR="007D61D2">
        <w:rPr>
          <w:rFonts w:asciiTheme="minorHAnsi" w:hAnsiTheme="minorHAnsi" w:cstheme="minorHAnsi"/>
        </w:rPr>
        <w:t xml:space="preserve"> This is based on the </w:t>
      </w:r>
      <w:hyperlink r:id="rId23" w:history="1">
        <w:r w:rsidR="002B7A43">
          <w:rPr>
            <w:rStyle w:val="Hyperlink"/>
            <w:rFonts w:asciiTheme="minorHAnsi" w:hAnsiTheme="minorHAnsi" w:cstheme="minorHAnsi"/>
          </w:rPr>
          <w:t>Royal College of Psychiatrists (RCPSYCH) Delivering Net Zero Mental Health report</w:t>
        </w:r>
      </w:hyperlink>
      <w:r w:rsidR="009E67B6">
        <w:rPr>
          <w:rFonts w:asciiTheme="minorHAnsi" w:hAnsiTheme="minorHAnsi" w:cstheme="minorHAnsi"/>
        </w:rPr>
        <w:t>. The relevant information can be found on page 15.</w:t>
      </w:r>
      <w:r w:rsidR="008210F9">
        <w:rPr>
          <w:rFonts w:asciiTheme="minorHAnsi" w:hAnsiTheme="minorHAnsi" w:cstheme="minorHAnsi"/>
        </w:rPr>
        <w:t xml:space="preserve"> </w:t>
      </w:r>
    </w:p>
    <w:p w14:paraId="64FC4C26" w14:textId="0EFD216C" w:rsidR="00BE14AD" w:rsidRPr="0027451E" w:rsidRDefault="00BE14AD" w:rsidP="0027451E">
      <w:pPr>
        <w:spacing w:line="360" w:lineRule="auto"/>
        <w:rPr>
          <w:rFonts w:asciiTheme="minorHAnsi" w:hAnsiTheme="minorHAnsi" w:cstheme="minorHAnsi"/>
        </w:rPr>
      </w:pPr>
      <w:r>
        <w:rPr>
          <w:rFonts w:asciiTheme="minorHAnsi" w:hAnsiTheme="minorHAnsi" w:cstheme="minorHAnsi"/>
        </w:rPr>
        <w:t>In addition to this we have been looking at using local companies where possible, using refurbished items as these often have up to 75% less carbon emissions due to most of the emissions being created during the manufacturing process.</w:t>
      </w:r>
    </w:p>
    <w:p w14:paraId="31148BE6" w14:textId="23C6CF05" w:rsidR="0027451E" w:rsidRDefault="006A1DF9" w:rsidP="00A8200E">
      <w:pPr>
        <w:spacing w:line="360" w:lineRule="auto"/>
      </w:pPr>
      <w:r>
        <w:t>We have support</w:t>
      </w:r>
      <w:r w:rsidR="00565CA8">
        <w:t>ed</w:t>
      </w:r>
      <w:r>
        <w:t xml:space="preserve"> car sharing where joint visits have been needed, others have used public travel and active travel (walking, cycling, skating etc) </w:t>
      </w:r>
      <w:r w:rsidR="00951D35">
        <w:t>whilst supporting the project.</w:t>
      </w:r>
      <w:r w:rsidR="009C3961">
        <w:t xml:space="preserve"> Where goods have been delivered, we have used environmentally friendly options where possible.</w:t>
      </w:r>
    </w:p>
    <w:p w14:paraId="1D3C8877" w14:textId="7643DC5D" w:rsidR="00951D35" w:rsidRDefault="00950B7C" w:rsidP="00A8200E">
      <w:pPr>
        <w:spacing w:line="360" w:lineRule="auto"/>
      </w:pPr>
      <w:r>
        <w:t>Additionally,</w:t>
      </w:r>
      <w:r w:rsidR="00951D35">
        <w:t xml:space="preserve"> we have used natural, eco dyes in our printing and used </w:t>
      </w:r>
      <w:r>
        <w:t xml:space="preserve">paper from a sustainable source. Our printing uses a cold heat transfer, so this reduces the carbon emissions also. We have also </w:t>
      </w:r>
      <w:r w:rsidR="00B80087">
        <w:t xml:space="preserve">recommended staff complete the application form </w:t>
      </w:r>
      <w:r w:rsidR="009C3961">
        <w:t>online,</w:t>
      </w:r>
      <w:r w:rsidR="00B80087">
        <w:t xml:space="preserve"> so it reduces printing physical application forms whilst also building a therapeutic relationship during the co-production process.</w:t>
      </w:r>
    </w:p>
    <w:p w14:paraId="5709C790" w14:textId="7BE1AB69" w:rsidR="00BA226A" w:rsidRDefault="00BA226A" w:rsidP="00A8200E">
      <w:pPr>
        <w:spacing w:line="360" w:lineRule="auto"/>
      </w:pPr>
      <w:r>
        <w:t>We also supported individuals to access support earlier, reducing the need for crisis support or interventions, this will have also provided a further reduction in the carbon footprint of their journey.</w:t>
      </w:r>
    </w:p>
    <w:p w14:paraId="631E82B5" w14:textId="74736E3C" w:rsidR="009C3961" w:rsidRDefault="009C3961" w:rsidP="00A8200E">
      <w:pPr>
        <w:spacing w:line="360" w:lineRule="auto"/>
      </w:pPr>
      <w:r>
        <w:t xml:space="preserve">By making small changes and by supporting people to leave hospital earlier we have reduced their shared carbon footprint by over </w:t>
      </w:r>
      <w:r w:rsidR="00841A73">
        <w:t>28</w:t>
      </w:r>
      <w:r>
        <w:t>.8t (</w:t>
      </w:r>
      <w:r w:rsidR="00841A73">
        <w:t>28</w:t>
      </w:r>
      <w:r>
        <w:t>,800kg)</w:t>
      </w:r>
      <w:r w:rsidR="0068147A">
        <w:t xml:space="preserve">. </w:t>
      </w:r>
      <w:r w:rsidR="00283576">
        <w:t xml:space="preserve">This is the equivalent carbon emissions of </w:t>
      </w:r>
      <w:r w:rsidR="00841A73">
        <w:t>travelling 403,200 miles on a train</w:t>
      </w:r>
      <w:r w:rsidR="00BB54F1">
        <w:t>.</w:t>
      </w:r>
      <w:r w:rsidR="006768D2">
        <w:t xml:space="preserve"> (The moon is 238,855 miles away)</w:t>
      </w:r>
      <w:r w:rsidR="00AC3AC2">
        <w:t xml:space="preserve">. </w:t>
      </w:r>
      <w:r w:rsidR="005D37B3">
        <w:t xml:space="preserve">Alternatively, a tree captures on average 20kg of carbon dioxide a year, it would take </w:t>
      </w:r>
      <w:r w:rsidR="0011066E">
        <w:t>1440 trees a full year to capture 28.8t of carbon dioxide.</w:t>
      </w:r>
      <w:r w:rsidR="006A68D9">
        <w:t xml:space="preserve"> </w:t>
      </w:r>
    </w:p>
    <w:p w14:paraId="7027030F" w14:textId="4C8D6340" w:rsidR="0011066E" w:rsidRPr="00B404A9" w:rsidRDefault="0011066E" w:rsidP="0011066E">
      <w:pPr>
        <w:spacing w:line="360" w:lineRule="auto"/>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t>Financial savings</w:t>
      </w:r>
    </w:p>
    <w:p w14:paraId="5F676847" w14:textId="77777777" w:rsidR="00D45E11" w:rsidRDefault="0011066E" w:rsidP="0011066E">
      <w:pPr>
        <w:tabs>
          <w:tab w:val="left" w:pos="1982"/>
        </w:tabs>
        <w:spacing w:line="360" w:lineRule="auto"/>
      </w:pPr>
      <w:r>
        <w:t xml:space="preserve">Another </w:t>
      </w:r>
      <w:r w:rsidR="00BC629C">
        <w:t xml:space="preserve">factor we have monitored during the pilot process has been financial savings based on the number of bed days reduced. </w:t>
      </w:r>
      <w:r w:rsidR="00BA226A">
        <w:t>Several</w:t>
      </w:r>
      <w:r w:rsidR="00BC629C">
        <w:t xml:space="preserve"> factors affect the cost of an inpatient bed, this includes the number of staff on the ward, the </w:t>
      </w:r>
      <w:r w:rsidR="00885491">
        <w:t>role</w:t>
      </w:r>
      <w:r w:rsidR="00721B3E">
        <w:t xml:space="preserve"> of staff on the ward, the food costs of the ward, </w:t>
      </w:r>
      <w:proofErr w:type="gramStart"/>
      <w:r w:rsidR="00721B3E">
        <w:t>maintenance</w:t>
      </w:r>
      <w:proofErr w:type="gramEnd"/>
      <w:r w:rsidR="00721B3E">
        <w:t xml:space="preserve"> and energy costs as well as </w:t>
      </w:r>
      <w:r w:rsidR="00610DDE">
        <w:t>several</w:t>
      </w:r>
      <w:r w:rsidR="00721B3E">
        <w:t xml:space="preserve"> other factors which include overall occupancy of the ward. </w:t>
      </w:r>
    </w:p>
    <w:p w14:paraId="3D083EC6" w14:textId="63A22B63" w:rsidR="00721B3E" w:rsidRDefault="00721B3E" w:rsidP="0011066E">
      <w:pPr>
        <w:tabs>
          <w:tab w:val="left" w:pos="1982"/>
        </w:tabs>
        <w:spacing w:line="360" w:lineRule="auto"/>
      </w:pPr>
      <w:r>
        <w:lastRenderedPageBreak/>
        <w:t xml:space="preserve">We were provided with annual costs of </w:t>
      </w:r>
      <w:r w:rsidR="00610DDE">
        <w:t>all</w:t>
      </w:r>
      <w:r>
        <w:t xml:space="preserve"> these different factors so we could generate accurate costs for each ward and therefore could identify the savings of a particular bed reduction from any ward or out of area bed which we supported. </w:t>
      </w:r>
    </w:p>
    <w:p w14:paraId="62711915" w14:textId="4F333A31" w:rsidR="006A68D9" w:rsidRDefault="00721B3E" w:rsidP="0011066E">
      <w:pPr>
        <w:tabs>
          <w:tab w:val="left" w:pos="1982"/>
        </w:tabs>
        <w:spacing w:line="360" w:lineRule="auto"/>
      </w:pPr>
      <w:r>
        <w:t xml:space="preserve">During our pilot period </w:t>
      </w:r>
      <w:r w:rsidR="008F4EDA">
        <w:t>PHB’s contributed to a reduction of 288 bed days</w:t>
      </w:r>
      <w:r>
        <w:t xml:space="preserve">, </w:t>
      </w:r>
      <w:r w:rsidR="00552CCF">
        <w:t xml:space="preserve">based on the figures we were provided this equated financially to </w:t>
      </w:r>
      <w:r w:rsidR="0039226D">
        <w:t>£227</w:t>
      </w:r>
      <w:r w:rsidR="00723942">
        <w:t>,586.00.</w:t>
      </w:r>
    </w:p>
    <w:p w14:paraId="0BACB331" w14:textId="6FBA06E9" w:rsidR="00F347D3" w:rsidRPr="00F347D3" w:rsidRDefault="00723942" w:rsidP="00F347D3">
      <w:pPr>
        <w:tabs>
          <w:tab w:val="left" w:pos="1982"/>
        </w:tabs>
        <w:spacing w:line="360" w:lineRule="auto"/>
      </w:pPr>
      <w:r>
        <w:t>Additional savings will have been made by the wider system supporting recovery in the community</w:t>
      </w:r>
      <w:r w:rsidR="006A68D9">
        <w:t xml:space="preserve"> r</w:t>
      </w:r>
      <w:r>
        <w:t>educing the number of people accessing crisis support and accessing support in a more preventative way</w:t>
      </w:r>
      <w:r w:rsidR="0080230C">
        <w:t>.</w:t>
      </w:r>
      <w:r>
        <w:t xml:space="preserve"> </w:t>
      </w:r>
      <w:r w:rsidR="0080230C">
        <w:t>H</w:t>
      </w:r>
      <w:r>
        <w:t>oweve</w:t>
      </w:r>
      <w:r w:rsidR="006A68D9">
        <w:t>r</w:t>
      </w:r>
      <w:r w:rsidR="0080230C">
        <w:t>,</w:t>
      </w:r>
      <w:r w:rsidR="006A68D9">
        <w:t xml:space="preserve"> this information is not easily captured or recorded so this was not able to be included within the calculation</w:t>
      </w:r>
      <w:r w:rsidR="00BA226A">
        <w:t>.</w:t>
      </w:r>
    </w:p>
    <w:p w14:paraId="119B6E10" w14:textId="17EA5143" w:rsidR="00F347D3" w:rsidRPr="00B404A9" w:rsidRDefault="00F347D3" w:rsidP="007310A9">
      <w:pPr>
        <w:spacing w:line="360" w:lineRule="auto"/>
        <w:rPr>
          <w:rFonts w:asciiTheme="majorHAnsi" w:hAnsiTheme="majorHAnsi" w:cstheme="majorHAnsi"/>
          <w:b/>
          <w:bCs/>
          <w:color w:val="44257D"/>
          <w:sz w:val="28"/>
          <w:szCs w:val="28"/>
        </w:rPr>
      </w:pPr>
      <w:r w:rsidRPr="00B404A9">
        <w:rPr>
          <w:rFonts w:asciiTheme="majorHAnsi" w:hAnsiTheme="majorHAnsi" w:cstheme="majorHAnsi"/>
          <w:b/>
          <w:bCs/>
          <w:color w:val="44257D"/>
          <w:sz w:val="28"/>
          <w:szCs w:val="28"/>
        </w:rPr>
        <w:t>Summary</w:t>
      </w:r>
    </w:p>
    <w:p w14:paraId="04C4170D" w14:textId="198EB217" w:rsidR="00BF041D" w:rsidRDefault="007310A9" w:rsidP="0080230C">
      <w:pPr>
        <w:spacing w:line="360" w:lineRule="auto"/>
        <w:rPr>
          <w:rFonts w:asciiTheme="minorHAnsi" w:hAnsiTheme="minorHAnsi" w:cstheme="minorHAnsi"/>
        </w:rPr>
      </w:pPr>
      <w:r>
        <w:rPr>
          <w:rFonts w:asciiTheme="minorHAnsi" w:hAnsiTheme="minorHAnsi" w:cstheme="minorHAnsi"/>
        </w:rPr>
        <w:t xml:space="preserve">As the key findings listed throughout the document highlight some of the positives </w:t>
      </w:r>
      <w:r w:rsidR="009643EE">
        <w:rPr>
          <w:rFonts w:asciiTheme="minorHAnsi" w:hAnsiTheme="minorHAnsi" w:cstheme="minorHAnsi"/>
        </w:rPr>
        <w:t>across several different aspects it also highlights areas where we can continue to improve and learn more.</w:t>
      </w:r>
    </w:p>
    <w:p w14:paraId="208CDFCB" w14:textId="2912E1B1" w:rsidR="008F5FEC" w:rsidRDefault="009643EE" w:rsidP="0080230C">
      <w:pPr>
        <w:spacing w:line="360" w:lineRule="auto"/>
        <w:rPr>
          <w:rFonts w:asciiTheme="minorHAnsi" w:hAnsiTheme="minorHAnsi" w:cstheme="minorHAnsi"/>
        </w:rPr>
      </w:pPr>
      <w:r>
        <w:rPr>
          <w:rFonts w:asciiTheme="minorHAnsi" w:hAnsiTheme="minorHAnsi" w:cstheme="minorHAnsi"/>
        </w:rPr>
        <w:t xml:space="preserve">It is important to acknowledge </w:t>
      </w:r>
      <w:r w:rsidR="008F5FEC">
        <w:rPr>
          <w:rFonts w:asciiTheme="minorHAnsi" w:hAnsiTheme="minorHAnsi" w:cstheme="minorHAnsi"/>
        </w:rPr>
        <w:t>that as</w:t>
      </w:r>
      <w:r>
        <w:rPr>
          <w:rFonts w:asciiTheme="minorHAnsi" w:hAnsiTheme="minorHAnsi" w:cstheme="minorHAnsi"/>
        </w:rPr>
        <w:t xml:space="preserve"> more information and data becomes </w:t>
      </w:r>
      <w:r w:rsidR="008F5FEC">
        <w:rPr>
          <w:rFonts w:asciiTheme="minorHAnsi" w:hAnsiTheme="minorHAnsi" w:cstheme="minorHAnsi"/>
        </w:rPr>
        <w:t>available,</w:t>
      </w:r>
      <w:r>
        <w:rPr>
          <w:rFonts w:asciiTheme="minorHAnsi" w:hAnsiTheme="minorHAnsi" w:cstheme="minorHAnsi"/>
        </w:rPr>
        <w:t xml:space="preserve"> we will have a better understanding of how equitable PHB’s have been to our inpatients and how they </w:t>
      </w:r>
      <w:r w:rsidR="007C1966">
        <w:rPr>
          <w:rFonts w:asciiTheme="minorHAnsi" w:hAnsiTheme="minorHAnsi" w:cstheme="minorHAnsi"/>
        </w:rPr>
        <w:t>are addressing</w:t>
      </w:r>
      <w:r>
        <w:rPr>
          <w:rFonts w:asciiTheme="minorHAnsi" w:hAnsiTheme="minorHAnsi" w:cstheme="minorHAnsi"/>
        </w:rPr>
        <w:t xml:space="preserve"> inequalities, whilst the early data shows </w:t>
      </w:r>
      <w:r w:rsidR="008F5FEC">
        <w:rPr>
          <w:rFonts w:asciiTheme="minorHAnsi" w:hAnsiTheme="minorHAnsi" w:cstheme="minorHAnsi"/>
        </w:rPr>
        <w:t>overall positive trends some of these sample sizes have been small and therefore as more data becomes available may show a different picture.</w:t>
      </w:r>
    </w:p>
    <w:p w14:paraId="1A1FD65A" w14:textId="1BF52864" w:rsidR="00BF041D" w:rsidRDefault="008F5FEC" w:rsidP="0080230C">
      <w:pPr>
        <w:spacing w:line="360" w:lineRule="auto"/>
        <w:rPr>
          <w:rFonts w:asciiTheme="minorHAnsi" w:hAnsiTheme="minorHAnsi" w:cstheme="minorHAnsi"/>
        </w:rPr>
      </w:pPr>
      <w:r>
        <w:rPr>
          <w:rFonts w:asciiTheme="minorHAnsi" w:hAnsiTheme="minorHAnsi" w:cstheme="minorHAnsi"/>
        </w:rPr>
        <w:t>However</w:t>
      </w:r>
      <w:r w:rsidR="00004D72">
        <w:rPr>
          <w:rFonts w:asciiTheme="minorHAnsi" w:hAnsiTheme="minorHAnsi" w:cstheme="minorHAnsi"/>
        </w:rPr>
        <w:t>,</w:t>
      </w:r>
      <w:r>
        <w:rPr>
          <w:rFonts w:asciiTheme="minorHAnsi" w:hAnsiTheme="minorHAnsi" w:cstheme="minorHAnsi"/>
        </w:rPr>
        <w:t xml:space="preserve"> being mindful of this and having an awareness of this potential bias and supporting other projects which are taking place to ensure we reduce inequalities and improve access and equity</w:t>
      </w:r>
      <w:r w:rsidR="00004D72">
        <w:rPr>
          <w:rFonts w:asciiTheme="minorHAnsi" w:hAnsiTheme="minorHAnsi" w:cstheme="minorHAnsi"/>
        </w:rPr>
        <w:t>.</w:t>
      </w:r>
      <w:r>
        <w:rPr>
          <w:rFonts w:asciiTheme="minorHAnsi" w:hAnsiTheme="minorHAnsi" w:cstheme="minorHAnsi"/>
        </w:rPr>
        <w:t xml:space="preserve"> </w:t>
      </w:r>
      <w:r w:rsidR="00004D72">
        <w:rPr>
          <w:rFonts w:asciiTheme="minorHAnsi" w:hAnsiTheme="minorHAnsi" w:cstheme="minorHAnsi"/>
        </w:rPr>
        <w:t>S</w:t>
      </w:r>
      <w:r>
        <w:rPr>
          <w:rFonts w:asciiTheme="minorHAnsi" w:hAnsiTheme="minorHAnsi" w:cstheme="minorHAnsi"/>
        </w:rPr>
        <w:t>uch as the Culture of Care and work being done to support ou</w:t>
      </w:r>
      <w:r w:rsidR="00954056">
        <w:rPr>
          <w:rFonts w:asciiTheme="minorHAnsi" w:hAnsiTheme="minorHAnsi" w:cstheme="minorHAnsi"/>
        </w:rPr>
        <w:t>r</w:t>
      </w:r>
      <w:r>
        <w:rPr>
          <w:rFonts w:asciiTheme="minorHAnsi" w:hAnsiTheme="minorHAnsi" w:cstheme="minorHAnsi"/>
        </w:rPr>
        <w:t xml:space="preserve"> Ethnically </w:t>
      </w:r>
      <w:r w:rsidR="006922ED">
        <w:rPr>
          <w:rFonts w:asciiTheme="minorHAnsi" w:hAnsiTheme="minorHAnsi" w:cstheme="minorHAnsi"/>
        </w:rPr>
        <w:t>and Culturally Diverse Communities (ECDC) we can continue to reduce any barriers to access and promote equity of access and support</w:t>
      </w:r>
      <w:r w:rsidR="00E547BB">
        <w:rPr>
          <w:rFonts w:asciiTheme="minorHAnsi" w:hAnsiTheme="minorHAnsi" w:cstheme="minorHAnsi"/>
        </w:rPr>
        <w:t xml:space="preserve"> in future helping to create sustainable recovery pathways for the extensive diversity </w:t>
      </w:r>
      <w:r w:rsidR="00EF6141">
        <w:rPr>
          <w:rFonts w:asciiTheme="minorHAnsi" w:hAnsiTheme="minorHAnsi" w:cstheme="minorHAnsi"/>
        </w:rPr>
        <w:t xml:space="preserve">of individuals across </w:t>
      </w:r>
      <w:r w:rsidR="00E547BB">
        <w:rPr>
          <w:rFonts w:asciiTheme="minorHAnsi" w:hAnsiTheme="minorHAnsi" w:cstheme="minorHAnsi"/>
        </w:rPr>
        <w:t>Bradford District and Craven.</w:t>
      </w:r>
    </w:p>
    <w:p w14:paraId="411EF2D3" w14:textId="49334AA0" w:rsidR="00672346" w:rsidRDefault="00BF041D" w:rsidP="0080230C">
      <w:pPr>
        <w:spacing w:line="360" w:lineRule="auto"/>
        <w:rPr>
          <w:rFonts w:asciiTheme="minorHAnsi" w:hAnsiTheme="minorHAnsi" w:cstheme="minorHAnsi"/>
        </w:rPr>
      </w:pPr>
      <w:r>
        <w:rPr>
          <w:rFonts w:asciiTheme="minorHAnsi" w:hAnsiTheme="minorHAnsi" w:cstheme="minorHAnsi"/>
        </w:rPr>
        <w:t xml:space="preserve">During the evaluation of this pilot of </w:t>
      </w:r>
      <w:r w:rsidR="00466A23">
        <w:rPr>
          <w:rFonts w:asciiTheme="minorHAnsi" w:hAnsiTheme="minorHAnsi" w:cstheme="minorHAnsi"/>
        </w:rPr>
        <w:t>one-off</w:t>
      </w:r>
      <w:r>
        <w:rPr>
          <w:rFonts w:asciiTheme="minorHAnsi" w:hAnsiTheme="minorHAnsi" w:cstheme="minorHAnsi"/>
        </w:rPr>
        <w:t xml:space="preserve"> personal health budgets for mental health, </w:t>
      </w:r>
      <w:r w:rsidR="004D7730">
        <w:rPr>
          <w:rFonts w:asciiTheme="minorHAnsi" w:hAnsiTheme="minorHAnsi" w:cstheme="minorHAnsi"/>
        </w:rPr>
        <w:t>many different things have been identified around what support is important to people.</w:t>
      </w:r>
    </w:p>
    <w:p w14:paraId="5253DA59" w14:textId="6A1AF5E7" w:rsidR="00CB2997" w:rsidRDefault="00CB2997" w:rsidP="0080230C">
      <w:pPr>
        <w:spacing w:line="360" w:lineRule="auto"/>
        <w:rPr>
          <w:rFonts w:asciiTheme="minorHAnsi" w:hAnsiTheme="minorHAnsi" w:cstheme="minorHAnsi"/>
        </w:rPr>
      </w:pPr>
      <w:r>
        <w:rPr>
          <w:rFonts w:asciiTheme="minorHAnsi" w:hAnsiTheme="minorHAnsi" w:cstheme="minorHAnsi"/>
        </w:rPr>
        <w:t>Several applications were made to support individuals as they came into hospital, often with no</w:t>
      </w:r>
      <w:r w:rsidR="00A055F5">
        <w:rPr>
          <w:rFonts w:asciiTheme="minorHAnsi" w:hAnsiTheme="minorHAnsi" w:cstheme="minorHAnsi"/>
        </w:rPr>
        <w:t xml:space="preserve"> personal belongings, this could be clothing,</w:t>
      </w:r>
      <w:r w:rsidR="00EF1090">
        <w:rPr>
          <w:rFonts w:asciiTheme="minorHAnsi" w:hAnsiTheme="minorHAnsi" w:cstheme="minorHAnsi"/>
        </w:rPr>
        <w:t xml:space="preserve"> key </w:t>
      </w:r>
      <w:proofErr w:type="gramStart"/>
      <w:r w:rsidR="00EF1090">
        <w:rPr>
          <w:rFonts w:asciiTheme="minorHAnsi" w:hAnsiTheme="minorHAnsi" w:cstheme="minorHAnsi"/>
        </w:rPr>
        <w:t>toiletries</w:t>
      </w:r>
      <w:proofErr w:type="gramEnd"/>
      <w:r w:rsidR="00EF1090">
        <w:rPr>
          <w:rFonts w:asciiTheme="minorHAnsi" w:hAnsiTheme="minorHAnsi" w:cstheme="minorHAnsi"/>
        </w:rPr>
        <w:t xml:space="preserve"> and personal belongings, these often needed an immediate response to provide a level of safety and dignity to the individual. We would recommend key items to be available on site for those admitted to hospital with limited belongings, this would support building a therapeutic relationship, provide dignity and a sense of safety for the individual. </w:t>
      </w:r>
    </w:p>
    <w:p w14:paraId="7EFBF1AC" w14:textId="14DF9A39" w:rsidR="004D7730" w:rsidRDefault="004D7730" w:rsidP="0080230C">
      <w:pPr>
        <w:spacing w:line="360" w:lineRule="auto"/>
        <w:rPr>
          <w:rFonts w:asciiTheme="minorHAnsi" w:hAnsiTheme="minorHAnsi" w:cstheme="minorHAnsi"/>
        </w:rPr>
      </w:pPr>
      <w:r>
        <w:rPr>
          <w:rFonts w:asciiTheme="minorHAnsi" w:hAnsiTheme="minorHAnsi" w:cstheme="minorHAnsi"/>
        </w:rPr>
        <w:lastRenderedPageBreak/>
        <w:t xml:space="preserve">Individuals often had </w:t>
      </w:r>
      <w:r w:rsidR="0082651C">
        <w:rPr>
          <w:rFonts w:asciiTheme="minorHAnsi" w:hAnsiTheme="minorHAnsi" w:cstheme="minorHAnsi"/>
        </w:rPr>
        <w:t>several</w:t>
      </w:r>
      <w:r>
        <w:rPr>
          <w:rFonts w:asciiTheme="minorHAnsi" w:hAnsiTheme="minorHAnsi" w:cstheme="minorHAnsi"/>
        </w:rPr>
        <w:t xml:space="preserve"> social related concerns such as housing (this includes </w:t>
      </w:r>
      <w:r w:rsidR="00082FAC">
        <w:rPr>
          <w:rFonts w:asciiTheme="minorHAnsi" w:hAnsiTheme="minorHAnsi" w:cstheme="minorHAnsi"/>
        </w:rPr>
        <w:t>homeless</w:t>
      </w:r>
      <w:r w:rsidR="00004D72">
        <w:rPr>
          <w:rFonts w:asciiTheme="minorHAnsi" w:hAnsiTheme="minorHAnsi" w:cstheme="minorHAnsi"/>
        </w:rPr>
        <w:t>ness</w:t>
      </w:r>
      <w:r w:rsidR="00082FAC">
        <w:rPr>
          <w:rFonts w:asciiTheme="minorHAnsi" w:hAnsiTheme="minorHAnsi" w:cstheme="minorHAnsi"/>
        </w:rPr>
        <w:t>, inappropriate housing, inhabitable housing, housing needing repairs and</w:t>
      </w:r>
      <w:r>
        <w:rPr>
          <w:rFonts w:asciiTheme="minorHAnsi" w:hAnsiTheme="minorHAnsi" w:cstheme="minorHAnsi"/>
        </w:rPr>
        <w:t xml:space="preserve"> managing a habitable home</w:t>
      </w:r>
      <w:r w:rsidR="00082FAC">
        <w:rPr>
          <w:rFonts w:asciiTheme="minorHAnsi" w:hAnsiTheme="minorHAnsi" w:cstheme="minorHAnsi"/>
        </w:rPr>
        <w:t xml:space="preserve"> for example), high levels of furniture and digital poverty were identified also in addition to high levels of white good being needed.</w:t>
      </w:r>
    </w:p>
    <w:p w14:paraId="5E3E3DC3" w14:textId="34D58AB9" w:rsidR="001576F2" w:rsidRDefault="0082651C" w:rsidP="0080230C">
      <w:pPr>
        <w:spacing w:line="360" w:lineRule="auto"/>
        <w:rPr>
          <w:rFonts w:asciiTheme="minorHAnsi" w:hAnsiTheme="minorHAnsi" w:cstheme="minorHAnsi"/>
        </w:rPr>
      </w:pPr>
      <w:r>
        <w:rPr>
          <w:rFonts w:asciiTheme="minorHAnsi" w:hAnsiTheme="minorHAnsi" w:cstheme="minorHAnsi"/>
        </w:rPr>
        <w:t xml:space="preserve">In </w:t>
      </w:r>
      <w:r w:rsidR="00297251">
        <w:rPr>
          <w:rFonts w:asciiTheme="minorHAnsi" w:hAnsiTheme="minorHAnsi" w:cstheme="minorHAnsi"/>
        </w:rPr>
        <w:t>addition,</w:t>
      </w:r>
      <w:r>
        <w:rPr>
          <w:rFonts w:asciiTheme="minorHAnsi" w:hAnsiTheme="minorHAnsi" w:cstheme="minorHAnsi"/>
        </w:rPr>
        <w:t xml:space="preserve"> we recognised that patient’s care plans and </w:t>
      </w:r>
      <w:r w:rsidR="00135ECC">
        <w:rPr>
          <w:rFonts w:asciiTheme="minorHAnsi" w:hAnsiTheme="minorHAnsi" w:cstheme="minorHAnsi"/>
        </w:rPr>
        <w:t xml:space="preserve">records did not always record an individual’s spiritual, </w:t>
      </w:r>
      <w:proofErr w:type="gramStart"/>
      <w:r w:rsidR="00135ECC">
        <w:rPr>
          <w:rFonts w:asciiTheme="minorHAnsi" w:hAnsiTheme="minorHAnsi" w:cstheme="minorHAnsi"/>
        </w:rPr>
        <w:t>religious</w:t>
      </w:r>
      <w:proofErr w:type="gramEnd"/>
      <w:r w:rsidR="00135ECC">
        <w:rPr>
          <w:rFonts w:asciiTheme="minorHAnsi" w:hAnsiTheme="minorHAnsi" w:cstheme="minorHAnsi"/>
        </w:rPr>
        <w:t xml:space="preserve"> or cultural identify, it also had poor recording on employment status </w:t>
      </w:r>
      <w:r w:rsidR="00297251">
        <w:rPr>
          <w:rFonts w:asciiTheme="minorHAnsi" w:hAnsiTheme="minorHAnsi" w:cstheme="minorHAnsi"/>
        </w:rPr>
        <w:t>and/or vocational engagement</w:t>
      </w:r>
      <w:r w:rsidR="00C57CB9">
        <w:rPr>
          <w:rFonts w:asciiTheme="minorHAnsi" w:hAnsiTheme="minorHAnsi" w:cstheme="minorHAnsi"/>
        </w:rPr>
        <w:t xml:space="preserve"> and on finance and wel</w:t>
      </w:r>
      <w:r w:rsidR="002610ED">
        <w:rPr>
          <w:rFonts w:asciiTheme="minorHAnsi" w:hAnsiTheme="minorHAnsi" w:cstheme="minorHAnsi"/>
        </w:rPr>
        <w:t>fare.</w:t>
      </w:r>
    </w:p>
    <w:p w14:paraId="4F4C5C5D" w14:textId="15F8ACBE" w:rsidR="001576F2" w:rsidRDefault="00297251" w:rsidP="0080230C">
      <w:pPr>
        <w:spacing w:line="360" w:lineRule="auto"/>
        <w:rPr>
          <w:rFonts w:asciiTheme="minorHAnsi" w:hAnsiTheme="minorHAnsi" w:cstheme="minorHAnsi"/>
        </w:rPr>
      </w:pPr>
      <w:r>
        <w:rPr>
          <w:rFonts w:asciiTheme="minorHAnsi" w:hAnsiTheme="minorHAnsi" w:cstheme="minorHAnsi"/>
        </w:rPr>
        <w:t>Throughout the “</w:t>
      </w:r>
      <w:r w:rsidR="002610ED">
        <w:rPr>
          <w:rFonts w:asciiTheme="minorHAnsi" w:hAnsiTheme="minorHAnsi" w:cstheme="minorHAnsi"/>
        </w:rPr>
        <w:t>W</w:t>
      </w:r>
      <w:r>
        <w:rPr>
          <w:rFonts w:asciiTheme="minorHAnsi" w:hAnsiTheme="minorHAnsi" w:cstheme="minorHAnsi"/>
        </w:rPr>
        <w:t xml:space="preserve">hat matters to me?” conversation as part of the application process we identified these as very important to several individual’s when they applied for support. </w:t>
      </w:r>
    </w:p>
    <w:p w14:paraId="1BAFB755" w14:textId="130559A2" w:rsidR="0082651C" w:rsidRDefault="00297251" w:rsidP="0080230C">
      <w:pPr>
        <w:spacing w:line="360" w:lineRule="auto"/>
        <w:rPr>
          <w:rFonts w:asciiTheme="minorHAnsi" w:hAnsiTheme="minorHAnsi" w:cstheme="minorHAnsi"/>
        </w:rPr>
      </w:pPr>
      <w:r>
        <w:rPr>
          <w:rFonts w:asciiTheme="minorHAnsi" w:hAnsiTheme="minorHAnsi" w:cstheme="minorHAnsi"/>
        </w:rPr>
        <w:t xml:space="preserve">We recognised </w:t>
      </w:r>
      <w:r w:rsidR="009756DF">
        <w:rPr>
          <w:rFonts w:asciiTheme="minorHAnsi" w:hAnsiTheme="minorHAnsi" w:cstheme="minorHAnsi"/>
        </w:rPr>
        <w:t xml:space="preserve">our inpatient services would often support with attending the religious needs of patients this was not always </w:t>
      </w:r>
      <w:r w:rsidR="001576F2">
        <w:rPr>
          <w:rFonts w:asciiTheme="minorHAnsi" w:hAnsiTheme="minorHAnsi" w:cstheme="minorHAnsi"/>
        </w:rPr>
        <w:t xml:space="preserve">done in a way which was accessible to the patient or within a timely manner. </w:t>
      </w:r>
    </w:p>
    <w:p w14:paraId="36D7D2CE" w14:textId="6B1B2A95" w:rsidR="001576F2" w:rsidRDefault="001576F2" w:rsidP="0080230C">
      <w:pPr>
        <w:spacing w:line="360" w:lineRule="auto"/>
        <w:rPr>
          <w:rFonts w:asciiTheme="minorHAnsi" w:hAnsiTheme="minorHAnsi" w:cstheme="minorHAnsi"/>
        </w:rPr>
      </w:pPr>
      <w:r>
        <w:rPr>
          <w:rFonts w:asciiTheme="minorHAnsi" w:hAnsiTheme="minorHAnsi" w:cstheme="minorHAnsi"/>
        </w:rPr>
        <w:t xml:space="preserve">However, when it came to wider spiritual and cultural needs these were not often documented as being supported by staff. Additionally care and discharge planning often did not include any area within their records. </w:t>
      </w:r>
    </w:p>
    <w:p w14:paraId="7D3376B6" w14:textId="77777777" w:rsidR="008743D4" w:rsidRDefault="001576F2" w:rsidP="0080230C">
      <w:pPr>
        <w:spacing w:line="360" w:lineRule="auto"/>
        <w:rPr>
          <w:rFonts w:asciiTheme="minorHAnsi" w:hAnsiTheme="minorHAnsi" w:cstheme="minorHAnsi"/>
        </w:rPr>
      </w:pPr>
      <w:r>
        <w:rPr>
          <w:rFonts w:asciiTheme="minorHAnsi" w:hAnsiTheme="minorHAnsi" w:cstheme="minorHAnsi"/>
        </w:rPr>
        <w:t xml:space="preserve">Similarly with employment and vocational support many individuals explained how employment or returning to </w:t>
      </w:r>
      <w:r w:rsidR="000863A1">
        <w:rPr>
          <w:rFonts w:asciiTheme="minorHAnsi" w:hAnsiTheme="minorHAnsi" w:cstheme="minorHAnsi"/>
        </w:rPr>
        <w:t xml:space="preserve">education or volunteering was a key part of their identified recovery. Care and discharge planning often lacked onwards support with these goals upon leaving hospital. </w:t>
      </w:r>
    </w:p>
    <w:p w14:paraId="4839D465" w14:textId="2211898E" w:rsidR="008743D4" w:rsidRDefault="001C3B7C" w:rsidP="0080230C">
      <w:pPr>
        <w:spacing w:line="360" w:lineRule="auto"/>
        <w:rPr>
          <w:rFonts w:asciiTheme="minorHAnsi" w:hAnsiTheme="minorHAnsi" w:cstheme="minorHAnsi"/>
        </w:rPr>
      </w:pPr>
      <w:r>
        <w:rPr>
          <w:rFonts w:asciiTheme="minorHAnsi" w:hAnsiTheme="minorHAnsi" w:cstheme="minorHAnsi"/>
        </w:rPr>
        <w:t>B</w:t>
      </w:r>
      <w:r w:rsidR="00ED0DD3">
        <w:rPr>
          <w:rFonts w:asciiTheme="minorHAnsi" w:hAnsiTheme="minorHAnsi" w:cstheme="minorHAnsi"/>
        </w:rPr>
        <w:t>radford District Care NHS Foundation Trust</w:t>
      </w:r>
      <w:r w:rsidR="000863A1">
        <w:rPr>
          <w:rFonts w:asciiTheme="minorHAnsi" w:hAnsiTheme="minorHAnsi" w:cstheme="minorHAnsi"/>
        </w:rPr>
        <w:t xml:space="preserve"> have an employment support service supporting those accessing community mental health support</w:t>
      </w:r>
      <w:r w:rsidR="002A2A5B">
        <w:rPr>
          <w:rFonts w:asciiTheme="minorHAnsi" w:hAnsiTheme="minorHAnsi" w:cstheme="minorHAnsi"/>
        </w:rPr>
        <w:t xml:space="preserve"> which support</w:t>
      </w:r>
      <w:r w:rsidR="002610ED">
        <w:rPr>
          <w:rFonts w:asciiTheme="minorHAnsi" w:hAnsiTheme="minorHAnsi" w:cstheme="minorHAnsi"/>
        </w:rPr>
        <w:t>s</w:t>
      </w:r>
      <w:r w:rsidR="002A2A5B">
        <w:rPr>
          <w:rFonts w:asciiTheme="minorHAnsi" w:hAnsiTheme="minorHAnsi" w:cstheme="minorHAnsi"/>
        </w:rPr>
        <w:t xml:space="preserve"> individuals</w:t>
      </w:r>
      <w:r w:rsidR="002610ED">
        <w:rPr>
          <w:rFonts w:asciiTheme="minorHAnsi" w:hAnsiTheme="minorHAnsi" w:cstheme="minorHAnsi"/>
        </w:rPr>
        <w:t xml:space="preserve"> to</w:t>
      </w:r>
      <w:r w:rsidR="002A2A5B">
        <w:rPr>
          <w:rFonts w:asciiTheme="minorHAnsi" w:hAnsiTheme="minorHAnsi" w:cstheme="minorHAnsi"/>
        </w:rPr>
        <w:t xml:space="preserve"> find or return to work when the individual </w:t>
      </w:r>
      <w:r w:rsidR="00DC67CC">
        <w:rPr>
          <w:rFonts w:asciiTheme="minorHAnsi" w:hAnsiTheme="minorHAnsi" w:cstheme="minorHAnsi"/>
        </w:rPr>
        <w:t xml:space="preserve">identities </w:t>
      </w:r>
      <w:r>
        <w:rPr>
          <w:rFonts w:asciiTheme="minorHAnsi" w:hAnsiTheme="minorHAnsi" w:cstheme="minorHAnsi"/>
        </w:rPr>
        <w:t>they would like to find or return to work called Making Work, Work which is an Indiv</w:t>
      </w:r>
      <w:r w:rsidR="006A7445">
        <w:rPr>
          <w:rFonts w:asciiTheme="minorHAnsi" w:hAnsiTheme="minorHAnsi" w:cstheme="minorHAnsi"/>
        </w:rPr>
        <w:t>idual Placement and Support (IPS)</w:t>
      </w:r>
      <w:r>
        <w:rPr>
          <w:rFonts w:asciiTheme="minorHAnsi" w:hAnsiTheme="minorHAnsi" w:cstheme="minorHAnsi"/>
        </w:rPr>
        <w:t xml:space="preserve"> employment service. </w:t>
      </w:r>
    </w:p>
    <w:p w14:paraId="3102351C" w14:textId="3A5E218C" w:rsidR="001576F2" w:rsidRDefault="001C3B7C" w:rsidP="0080230C">
      <w:pPr>
        <w:spacing w:line="360" w:lineRule="auto"/>
        <w:rPr>
          <w:rFonts w:asciiTheme="minorHAnsi" w:hAnsiTheme="minorHAnsi" w:cstheme="minorHAnsi"/>
        </w:rPr>
      </w:pPr>
      <w:r>
        <w:rPr>
          <w:rFonts w:asciiTheme="minorHAnsi" w:hAnsiTheme="minorHAnsi" w:cstheme="minorHAnsi"/>
        </w:rPr>
        <w:t>Additionally, our VCS</w:t>
      </w:r>
      <w:r w:rsidR="006A7445">
        <w:rPr>
          <w:rFonts w:asciiTheme="minorHAnsi" w:hAnsiTheme="minorHAnsi" w:cstheme="minorHAnsi"/>
        </w:rPr>
        <w:t>E partners offer a range of vocational and employment support for those who may wish to return to education, begin volunteering or begin looking for work or prepare for work. Programmes such as The Cellar Trust’s Pathways to Employment have been key referrals to those indiv</w:t>
      </w:r>
      <w:r w:rsidR="008743D4">
        <w:rPr>
          <w:rFonts w:asciiTheme="minorHAnsi" w:hAnsiTheme="minorHAnsi" w:cstheme="minorHAnsi"/>
        </w:rPr>
        <w:t>iduals who have been leaving hospital.</w:t>
      </w:r>
    </w:p>
    <w:p w14:paraId="3298A77B" w14:textId="7A1CBDAA" w:rsidR="00297251" w:rsidRDefault="008743D4" w:rsidP="0080230C">
      <w:pPr>
        <w:spacing w:line="360" w:lineRule="auto"/>
        <w:rPr>
          <w:rFonts w:asciiTheme="minorHAnsi" w:hAnsiTheme="minorHAnsi" w:cstheme="minorHAnsi"/>
        </w:rPr>
      </w:pPr>
      <w:r>
        <w:rPr>
          <w:rFonts w:asciiTheme="minorHAnsi" w:hAnsiTheme="minorHAnsi" w:cstheme="minorHAnsi"/>
        </w:rPr>
        <w:t>It is important to recognise the importance of identifying what matters to an indivi</w:t>
      </w:r>
      <w:r w:rsidR="006C09E0">
        <w:rPr>
          <w:rFonts w:asciiTheme="minorHAnsi" w:hAnsiTheme="minorHAnsi" w:cstheme="minorHAnsi"/>
        </w:rPr>
        <w:t>dual and ensuring that care and recovery planning focus on these areas, by empowering and supporting the individual to support and manage their recovery where possible it provides ongoing support and supports building wider community resilience to manage their mental well-being in future.</w:t>
      </w:r>
    </w:p>
    <w:p w14:paraId="107DC706" w14:textId="77777777" w:rsidR="00AE396F" w:rsidRDefault="006C09E0" w:rsidP="0080230C">
      <w:pPr>
        <w:spacing w:line="360" w:lineRule="auto"/>
        <w:rPr>
          <w:rFonts w:asciiTheme="minorHAnsi" w:hAnsiTheme="minorHAnsi" w:cstheme="minorHAnsi"/>
        </w:rPr>
      </w:pPr>
      <w:r>
        <w:rPr>
          <w:rFonts w:asciiTheme="minorHAnsi" w:hAnsiTheme="minorHAnsi" w:cstheme="minorHAnsi"/>
        </w:rPr>
        <w:lastRenderedPageBreak/>
        <w:t xml:space="preserve">By having care, support and recovery goals which follow an individual across </w:t>
      </w:r>
      <w:r w:rsidR="00084441">
        <w:rPr>
          <w:rFonts w:asciiTheme="minorHAnsi" w:hAnsiTheme="minorHAnsi" w:cstheme="minorHAnsi"/>
        </w:rPr>
        <w:t xml:space="preserve">services it ensures that services are aware of what is important to the individual and how best to support their own recovery </w:t>
      </w:r>
      <w:r w:rsidR="00AE396F">
        <w:rPr>
          <w:rFonts w:asciiTheme="minorHAnsi" w:hAnsiTheme="minorHAnsi" w:cstheme="minorHAnsi"/>
        </w:rPr>
        <w:t>both in the short and longer term.</w:t>
      </w:r>
    </w:p>
    <w:p w14:paraId="48D38DC5" w14:textId="79F34130" w:rsidR="006C09E0" w:rsidRDefault="00AE396F" w:rsidP="0080230C">
      <w:pPr>
        <w:spacing w:line="360" w:lineRule="auto"/>
        <w:rPr>
          <w:rFonts w:asciiTheme="minorHAnsi" w:hAnsiTheme="minorHAnsi" w:cstheme="minorHAnsi"/>
        </w:rPr>
      </w:pPr>
      <w:r>
        <w:rPr>
          <w:rFonts w:asciiTheme="minorHAnsi" w:hAnsiTheme="minorHAnsi" w:cstheme="minorHAnsi"/>
        </w:rPr>
        <w:t xml:space="preserve">We would recommend that we consider ensuring accurate recording of </w:t>
      </w:r>
      <w:r w:rsidR="004B39AF">
        <w:rPr>
          <w:rFonts w:asciiTheme="minorHAnsi" w:hAnsiTheme="minorHAnsi" w:cstheme="minorHAnsi"/>
        </w:rPr>
        <w:t xml:space="preserve">religious and cultural </w:t>
      </w:r>
      <w:r w:rsidR="00EF4AF8">
        <w:rPr>
          <w:rFonts w:asciiTheme="minorHAnsi" w:hAnsiTheme="minorHAnsi" w:cstheme="minorHAnsi"/>
        </w:rPr>
        <w:t>beliefs</w:t>
      </w:r>
      <w:r w:rsidR="004B39AF">
        <w:rPr>
          <w:rFonts w:asciiTheme="minorHAnsi" w:hAnsiTheme="minorHAnsi" w:cstheme="minorHAnsi"/>
        </w:rPr>
        <w:t xml:space="preserve"> as well as employment and vocational status. This would support prompting both staff and patients to consider these elements when identifying what is important to them and their recovery.</w:t>
      </w:r>
      <w:r>
        <w:rPr>
          <w:rFonts w:asciiTheme="minorHAnsi" w:hAnsiTheme="minorHAnsi" w:cstheme="minorHAnsi"/>
        </w:rPr>
        <w:t xml:space="preserve"> </w:t>
      </w:r>
    </w:p>
    <w:p w14:paraId="2247F6F6" w14:textId="77777777" w:rsidR="00297251" w:rsidRPr="00EF3A4D" w:rsidRDefault="00297251" w:rsidP="0023499A">
      <w:pPr>
        <w:rPr>
          <w:rFonts w:cs="Arial"/>
        </w:rPr>
      </w:pPr>
    </w:p>
    <w:sectPr w:rsidR="00297251" w:rsidRPr="00EF3A4D" w:rsidSect="00B404A9">
      <w:headerReference w:type="first" r:id="rId24"/>
      <w:footerReference w:type="first" r:id="rId2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5A741" w14:textId="77777777" w:rsidR="009F7961" w:rsidRDefault="009F7961" w:rsidP="00940F83">
      <w:pPr>
        <w:spacing w:before="0" w:after="0"/>
      </w:pPr>
      <w:r>
        <w:separator/>
      </w:r>
    </w:p>
  </w:endnote>
  <w:endnote w:type="continuationSeparator" w:id="0">
    <w:p w14:paraId="40CEEC77" w14:textId="77777777" w:rsidR="009F7961" w:rsidRDefault="009F7961" w:rsidP="00940F83">
      <w:pPr>
        <w:spacing w:before="0" w:after="0"/>
      </w:pPr>
      <w:r>
        <w:continuationSeparator/>
      </w:r>
    </w:p>
  </w:endnote>
  <w:endnote w:type="continuationNotice" w:id="1">
    <w:p w14:paraId="3AB4E7D0" w14:textId="77777777" w:rsidR="009F7961" w:rsidRDefault="009F79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Helvetica Neue"/>
    <w:panose1 w:val="00000000000000000000"/>
    <w:charset w:val="4D"/>
    <w:family w:val="auto"/>
    <w:notTrueType/>
    <w:pitch w:val="default"/>
    <w:sig w:usb0="00000003" w:usb1="00000000" w:usb2="00000000" w:usb3="00000000" w:csb0="00000001"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3283231"/>
      <w:docPartObj>
        <w:docPartGallery w:val="Page Numbers (Bottom of Page)"/>
        <w:docPartUnique/>
      </w:docPartObj>
    </w:sdtPr>
    <w:sdtEndPr>
      <w:rPr>
        <w:rStyle w:val="PageNumber"/>
      </w:rPr>
    </w:sdtEndPr>
    <w:sdtContent>
      <w:p w14:paraId="68BC94FF" w14:textId="77777777" w:rsidR="00DF1AD8" w:rsidRDefault="00DF1AD8" w:rsidP="00AE42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03479507"/>
      <w:docPartObj>
        <w:docPartGallery w:val="Page Numbers (Bottom of Page)"/>
        <w:docPartUnique/>
      </w:docPartObj>
    </w:sdtPr>
    <w:sdtEndPr>
      <w:rPr>
        <w:rStyle w:val="PageNumber"/>
      </w:rPr>
    </w:sdtEndPr>
    <w:sdtContent>
      <w:p w14:paraId="25ACE543" w14:textId="77777777" w:rsidR="00DF1AD8" w:rsidRDefault="00DF1AD8" w:rsidP="0004241B">
        <w:pPr>
          <w:pStyle w:val="Foote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40105" w14:textId="77777777" w:rsidR="00DF1AD8" w:rsidRDefault="00DF1AD8" w:rsidP="0004241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94410"/>
      <w:docPartObj>
        <w:docPartGallery w:val="Page Numbers (Bottom of Page)"/>
        <w:docPartUnique/>
      </w:docPartObj>
    </w:sdtPr>
    <w:sdtEndPr>
      <w:rPr>
        <w:noProof/>
      </w:rPr>
    </w:sdtEndPr>
    <w:sdtContent>
      <w:p w14:paraId="1A5B29AD" w14:textId="79FBDFFE" w:rsidR="00F347D3" w:rsidRDefault="00F347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EA2ED2" w14:textId="77777777" w:rsidR="00DF1AD8" w:rsidRPr="0004241B" w:rsidRDefault="00DF1AD8" w:rsidP="0004241B">
    <w:pPr>
      <w:pStyle w:val="Footer"/>
      <w:ind w:right="360" w:firstLine="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5B0A" w14:textId="77777777" w:rsidR="00DF1AD8" w:rsidRPr="007A0BDE" w:rsidRDefault="00DF1AD8" w:rsidP="00AE42F0">
    <w:pPr>
      <w:pStyle w:val="Footer"/>
      <w:framePr w:wrap="none" w:vAnchor="text" w:hAnchor="margin" w:xAlign="center" w:y="1"/>
      <w:rPr>
        <w:rStyle w:val="PageNumber"/>
        <w:sz w:val="18"/>
        <w:szCs w:val="18"/>
      </w:rPr>
    </w:pPr>
  </w:p>
  <w:p w14:paraId="420A476E" w14:textId="47654999" w:rsidR="00DF1AD8" w:rsidRDefault="00DF1AD8" w:rsidP="007A0BDE">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48C3" w14:textId="6F3DC46A" w:rsidR="00D817D9" w:rsidRPr="007A0BDE" w:rsidRDefault="00D817D9" w:rsidP="00AE42F0">
    <w:pPr>
      <w:pStyle w:val="Footer"/>
      <w:framePr w:wrap="none" w:vAnchor="text" w:hAnchor="margin" w:xAlign="center" w:y="1"/>
      <w:rPr>
        <w:rStyle w:val="PageNumber"/>
        <w:sz w:val="18"/>
        <w:szCs w:val="18"/>
      </w:rPr>
    </w:pPr>
  </w:p>
  <w:p w14:paraId="26701E5C" w14:textId="6E645CA6" w:rsidR="00D817D9" w:rsidRDefault="00D817D9" w:rsidP="00E547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CB60" w14:textId="77777777" w:rsidR="009F7961" w:rsidRDefault="009F7961" w:rsidP="00940F83">
      <w:pPr>
        <w:spacing w:before="0" w:after="0"/>
      </w:pPr>
      <w:r>
        <w:separator/>
      </w:r>
    </w:p>
  </w:footnote>
  <w:footnote w:type="continuationSeparator" w:id="0">
    <w:p w14:paraId="32986A0D" w14:textId="77777777" w:rsidR="009F7961" w:rsidRDefault="009F7961" w:rsidP="00940F83">
      <w:pPr>
        <w:spacing w:before="0" w:after="0"/>
      </w:pPr>
      <w:r>
        <w:continuationSeparator/>
      </w:r>
    </w:p>
  </w:footnote>
  <w:footnote w:type="continuationNotice" w:id="1">
    <w:p w14:paraId="7453A30A" w14:textId="77777777" w:rsidR="009F7961" w:rsidRDefault="009F79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D63E" w14:textId="77777777" w:rsidR="00DF1AD8" w:rsidRDefault="00DF1AD8" w:rsidP="00940F83">
    <w:pPr>
      <w:pStyle w:val="Header"/>
      <w:jc w:val="right"/>
    </w:pPr>
    <w:r>
      <w:rPr>
        <w:noProof/>
      </w:rPr>
      <w:ptab w:relativeTo="indent" w:alignment="right" w:leader="none"/>
    </w:r>
  </w:p>
  <w:p w14:paraId="5EB0D8B2" w14:textId="77777777" w:rsidR="00DF1AD8" w:rsidRDefault="00DF1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AF81" w14:textId="13C55065" w:rsidR="0079740B" w:rsidRDefault="0079740B">
    <w:pPr>
      <w:pStyle w:val="Header"/>
    </w:pPr>
    <w:r>
      <w:rPr>
        <w:noProof/>
      </w:rPr>
      <w:drawing>
        <wp:anchor distT="0" distB="0" distL="114300" distR="114300" simplePos="0" relativeHeight="251660289" behindDoc="1" locked="0" layoutInCell="1" allowOverlap="1" wp14:anchorId="371C7F19" wp14:editId="78284C3B">
          <wp:simplePos x="0" y="0"/>
          <wp:positionH relativeFrom="column">
            <wp:posOffset>-458734</wp:posOffset>
          </wp:positionH>
          <wp:positionV relativeFrom="paragraph">
            <wp:posOffset>-450850</wp:posOffset>
          </wp:positionV>
          <wp:extent cx="7559675" cy="10685780"/>
          <wp:effectExtent l="0" t="0" r="3175" b="1270"/>
          <wp:wrapNone/>
          <wp:docPr id="8689002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5617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7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BF1C" w14:textId="7C57B226" w:rsidR="00651DCB" w:rsidRDefault="0065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C12"/>
    <w:multiLevelType w:val="hybridMultilevel"/>
    <w:tmpl w:val="0EECB006"/>
    <w:lvl w:ilvl="0" w:tplc="81E24F7C">
      <w:start w:val="1"/>
      <w:numFmt w:val="decimal"/>
      <w:pStyle w:val="Numberedlis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90698"/>
    <w:multiLevelType w:val="hybridMultilevel"/>
    <w:tmpl w:val="660C4388"/>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2" w15:restartNumberingAfterBreak="0">
    <w:nsid w:val="0A342C66"/>
    <w:multiLevelType w:val="hybridMultilevel"/>
    <w:tmpl w:val="F708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5963"/>
    <w:multiLevelType w:val="hybridMultilevel"/>
    <w:tmpl w:val="C236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9461C"/>
    <w:multiLevelType w:val="hybridMultilevel"/>
    <w:tmpl w:val="E9DE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D0E31"/>
    <w:multiLevelType w:val="hybridMultilevel"/>
    <w:tmpl w:val="4F56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81D0A"/>
    <w:multiLevelType w:val="hybridMultilevel"/>
    <w:tmpl w:val="7FC0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13FDE"/>
    <w:multiLevelType w:val="hybridMultilevel"/>
    <w:tmpl w:val="E70A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E105F"/>
    <w:multiLevelType w:val="hybridMultilevel"/>
    <w:tmpl w:val="629A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A5BDF"/>
    <w:multiLevelType w:val="hybridMultilevel"/>
    <w:tmpl w:val="A4D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B3FF8"/>
    <w:multiLevelType w:val="hybridMultilevel"/>
    <w:tmpl w:val="74C65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35BF4"/>
    <w:multiLevelType w:val="hybridMultilevel"/>
    <w:tmpl w:val="C0CC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B7FFA"/>
    <w:multiLevelType w:val="hybridMultilevel"/>
    <w:tmpl w:val="B870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3C30F6"/>
    <w:multiLevelType w:val="hybridMultilevel"/>
    <w:tmpl w:val="1F4E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93C91"/>
    <w:multiLevelType w:val="hybridMultilevel"/>
    <w:tmpl w:val="730C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35F9A"/>
    <w:multiLevelType w:val="hybridMultilevel"/>
    <w:tmpl w:val="18D63436"/>
    <w:lvl w:ilvl="0" w:tplc="5C5E12EA">
      <w:start w:val="1"/>
      <w:numFmt w:val="bullet"/>
      <w:pStyle w:val="Bulletpoints"/>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1813602"/>
    <w:multiLevelType w:val="hybridMultilevel"/>
    <w:tmpl w:val="4BD8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80E48"/>
    <w:multiLevelType w:val="hybridMultilevel"/>
    <w:tmpl w:val="2A347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30DC9"/>
    <w:multiLevelType w:val="hybridMultilevel"/>
    <w:tmpl w:val="1698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011A5"/>
    <w:multiLevelType w:val="hybridMultilevel"/>
    <w:tmpl w:val="5076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41C65"/>
    <w:multiLevelType w:val="hybridMultilevel"/>
    <w:tmpl w:val="074660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0B43DFF"/>
    <w:multiLevelType w:val="hybridMultilevel"/>
    <w:tmpl w:val="250C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328B5"/>
    <w:multiLevelType w:val="hybridMultilevel"/>
    <w:tmpl w:val="D6D4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424623"/>
    <w:multiLevelType w:val="hybridMultilevel"/>
    <w:tmpl w:val="5B02EDD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492DED"/>
    <w:multiLevelType w:val="hybridMultilevel"/>
    <w:tmpl w:val="2EB4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3444E4"/>
    <w:multiLevelType w:val="hybridMultilevel"/>
    <w:tmpl w:val="57A0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3A63AB"/>
    <w:multiLevelType w:val="hybridMultilevel"/>
    <w:tmpl w:val="B8F8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76F11"/>
    <w:multiLevelType w:val="hybridMultilevel"/>
    <w:tmpl w:val="5B9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36640"/>
    <w:multiLevelType w:val="hybridMultilevel"/>
    <w:tmpl w:val="C1C0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260D8"/>
    <w:multiLevelType w:val="hybridMultilevel"/>
    <w:tmpl w:val="016C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D4145"/>
    <w:multiLevelType w:val="hybridMultilevel"/>
    <w:tmpl w:val="6434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02305"/>
    <w:multiLevelType w:val="hybridMultilevel"/>
    <w:tmpl w:val="4F54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C76FC"/>
    <w:multiLevelType w:val="hybridMultilevel"/>
    <w:tmpl w:val="C288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A8025B"/>
    <w:multiLevelType w:val="hybridMultilevel"/>
    <w:tmpl w:val="DD52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3237ED"/>
    <w:multiLevelType w:val="hybridMultilevel"/>
    <w:tmpl w:val="68EE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623F87"/>
    <w:multiLevelType w:val="hybridMultilevel"/>
    <w:tmpl w:val="BBDA0AC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num w:numId="1" w16cid:durableId="1134761357">
    <w:abstractNumId w:val="35"/>
  </w:num>
  <w:num w:numId="2" w16cid:durableId="612979773">
    <w:abstractNumId w:val="1"/>
  </w:num>
  <w:num w:numId="3" w16cid:durableId="1122071712">
    <w:abstractNumId w:val="17"/>
  </w:num>
  <w:num w:numId="4" w16cid:durableId="675688827">
    <w:abstractNumId w:val="18"/>
  </w:num>
  <w:num w:numId="5" w16cid:durableId="1724786981">
    <w:abstractNumId w:val="30"/>
  </w:num>
  <w:num w:numId="6" w16cid:durableId="715736768">
    <w:abstractNumId w:val="19"/>
  </w:num>
  <w:num w:numId="7" w16cid:durableId="672024646">
    <w:abstractNumId w:val="25"/>
  </w:num>
  <w:num w:numId="8" w16cid:durableId="367990877">
    <w:abstractNumId w:val="21"/>
  </w:num>
  <w:num w:numId="9" w16cid:durableId="599875678">
    <w:abstractNumId w:val="24"/>
  </w:num>
  <w:num w:numId="10" w16cid:durableId="2059696602">
    <w:abstractNumId w:val="26"/>
  </w:num>
  <w:num w:numId="11" w16cid:durableId="1294604015">
    <w:abstractNumId w:val="12"/>
  </w:num>
  <w:num w:numId="12" w16cid:durableId="902986847">
    <w:abstractNumId w:val="29"/>
  </w:num>
  <w:num w:numId="13" w16cid:durableId="942685942">
    <w:abstractNumId w:val="13"/>
  </w:num>
  <w:num w:numId="14" w16cid:durableId="751509836">
    <w:abstractNumId w:val="32"/>
  </w:num>
  <w:num w:numId="15" w16cid:durableId="616720119">
    <w:abstractNumId w:val="34"/>
  </w:num>
  <w:num w:numId="16" w16cid:durableId="2142767757">
    <w:abstractNumId w:val="6"/>
  </w:num>
  <w:num w:numId="17" w16cid:durableId="1616329298">
    <w:abstractNumId w:val="4"/>
  </w:num>
  <w:num w:numId="18" w16cid:durableId="144010402">
    <w:abstractNumId w:val="20"/>
  </w:num>
  <w:num w:numId="19" w16cid:durableId="1101995243">
    <w:abstractNumId w:val="27"/>
  </w:num>
  <w:num w:numId="20" w16cid:durableId="2110927631">
    <w:abstractNumId w:val="5"/>
  </w:num>
  <w:num w:numId="21" w16cid:durableId="1583029900">
    <w:abstractNumId w:val="9"/>
  </w:num>
  <w:num w:numId="22" w16cid:durableId="1207374295">
    <w:abstractNumId w:val="16"/>
  </w:num>
  <w:num w:numId="23" w16cid:durableId="461382536">
    <w:abstractNumId w:val="3"/>
  </w:num>
  <w:num w:numId="24" w16cid:durableId="1932154902">
    <w:abstractNumId w:val="28"/>
  </w:num>
  <w:num w:numId="25" w16cid:durableId="764224438">
    <w:abstractNumId w:val="8"/>
  </w:num>
  <w:num w:numId="26" w16cid:durableId="78451356">
    <w:abstractNumId w:val="22"/>
  </w:num>
  <w:num w:numId="27" w16cid:durableId="1723089430">
    <w:abstractNumId w:val="14"/>
  </w:num>
  <w:num w:numId="28" w16cid:durableId="330184924">
    <w:abstractNumId w:val="2"/>
  </w:num>
  <w:num w:numId="29" w16cid:durableId="2073498705">
    <w:abstractNumId w:val="15"/>
  </w:num>
  <w:num w:numId="30" w16cid:durableId="800077259">
    <w:abstractNumId w:val="0"/>
  </w:num>
  <w:num w:numId="31" w16cid:durableId="1367635578">
    <w:abstractNumId w:val="31"/>
  </w:num>
  <w:num w:numId="32" w16cid:durableId="1814442267">
    <w:abstractNumId w:val="23"/>
  </w:num>
  <w:num w:numId="33" w16cid:durableId="1038700522">
    <w:abstractNumId w:val="7"/>
  </w:num>
  <w:num w:numId="34" w16cid:durableId="1213423930">
    <w:abstractNumId w:val="10"/>
  </w:num>
  <w:num w:numId="35" w16cid:durableId="231963934">
    <w:abstractNumId w:val="11"/>
  </w:num>
  <w:num w:numId="36" w16cid:durableId="20096286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83"/>
    <w:rsid w:val="00002E04"/>
    <w:rsid w:val="00004D72"/>
    <w:rsid w:val="00013488"/>
    <w:rsid w:val="000148B9"/>
    <w:rsid w:val="00024A79"/>
    <w:rsid w:val="00031267"/>
    <w:rsid w:val="00034A4E"/>
    <w:rsid w:val="00034C9A"/>
    <w:rsid w:val="00034D10"/>
    <w:rsid w:val="00034E2B"/>
    <w:rsid w:val="0004241B"/>
    <w:rsid w:val="00053B2B"/>
    <w:rsid w:val="00082FAC"/>
    <w:rsid w:val="00084441"/>
    <w:rsid w:val="000863A1"/>
    <w:rsid w:val="000A4C66"/>
    <w:rsid w:val="000A79B9"/>
    <w:rsid w:val="000B15F4"/>
    <w:rsid w:val="000B2847"/>
    <w:rsid w:val="000B31CC"/>
    <w:rsid w:val="000C3926"/>
    <w:rsid w:val="000D62C2"/>
    <w:rsid w:val="000E50CC"/>
    <w:rsid w:val="000F4311"/>
    <w:rsid w:val="000F4641"/>
    <w:rsid w:val="000F50F7"/>
    <w:rsid w:val="000F604B"/>
    <w:rsid w:val="00105C34"/>
    <w:rsid w:val="00105F6C"/>
    <w:rsid w:val="0011066E"/>
    <w:rsid w:val="00110D29"/>
    <w:rsid w:val="001306E1"/>
    <w:rsid w:val="0013313B"/>
    <w:rsid w:val="00135BCC"/>
    <w:rsid w:val="00135ECC"/>
    <w:rsid w:val="0014499A"/>
    <w:rsid w:val="00147BEE"/>
    <w:rsid w:val="00151290"/>
    <w:rsid w:val="0015439B"/>
    <w:rsid w:val="001576F2"/>
    <w:rsid w:val="00174F57"/>
    <w:rsid w:val="00175DDB"/>
    <w:rsid w:val="00182AEC"/>
    <w:rsid w:val="00190613"/>
    <w:rsid w:val="001B04AC"/>
    <w:rsid w:val="001B13DB"/>
    <w:rsid w:val="001B3EA9"/>
    <w:rsid w:val="001C3B7C"/>
    <w:rsid w:val="001D3C10"/>
    <w:rsid w:val="001E407A"/>
    <w:rsid w:val="001E5670"/>
    <w:rsid w:val="001F2A2D"/>
    <w:rsid w:val="001F393E"/>
    <w:rsid w:val="001F4968"/>
    <w:rsid w:val="00212CEC"/>
    <w:rsid w:val="0022029C"/>
    <w:rsid w:val="0022563E"/>
    <w:rsid w:val="0022644B"/>
    <w:rsid w:val="00231736"/>
    <w:rsid w:val="0023499A"/>
    <w:rsid w:val="0023558F"/>
    <w:rsid w:val="00240443"/>
    <w:rsid w:val="00245141"/>
    <w:rsid w:val="00245873"/>
    <w:rsid w:val="00252527"/>
    <w:rsid w:val="002527EA"/>
    <w:rsid w:val="0025630E"/>
    <w:rsid w:val="00256E17"/>
    <w:rsid w:val="002610ED"/>
    <w:rsid w:val="002651A7"/>
    <w:rsid w:val="002707FD"/>
    <w:rsid w:val="00270A77"/>
    <w:rsid w:val="0027451E"/>
    <w:rsid w:val="00283576"/>
    <w:rsid w:val="00291CE1"/>
    <w:rsid w:val="00294EB5"/>
    <w:rsid w:val="00297251"/>
    <w:rsid w:val="002A1C5F"/>
    <w:rsid w:val="002A2A5B"/>
    <w:rsid w:val="002A55A2"/>
    <w:rsid w:val="002B0B41"/>
    <w:rsid w:val="002B7A43"/>
    <w:rsid w:val="002B7D21"/>
    <w:rsid w:val="002D4ABB"/>
    <w:rsid w:val="002D787D"/>
    <w:rsid w:val="002E298C"/>
    <w:rsid w:val="002E6378"/>
    <w:rsid w:val="002F498D"/>
    <w:rsid w:val="002F7DF9"/>
    <w:rsid w:val="00311681"/>
    <w:rsid w:val="00321450"/>
    <w:rsid w:val="00324D59"/>
    <w:rsid w:val="00330D04"/>
    <w:rsid w:val="003379F9"/>
    <w:rsid w:val="00341843"/>
    <w:rsid w:val="00343B44"/>
    <w:rsid w:val="00347345"/>
    <w:rsid w:val="00351BD9"/>
    <w:rsid w:val="00352F97"/>
    <w:rsid w:val="003604A7"/>
    <w:rsid w:val="00363C0D"/>
    <w:rsid w:val="00365590"/>
    <w:rsid w:val="003803E8"/>
    <w:rsid w:val="00381D4B"/>
    <w:rsid w:val="00385678"/>
    <w:rsid w:val="0039226D"/>
    <w:rsid w:val="003A7FAC"/>
    <w:rsid w:val="003B15E8"/>
    <w:rsid w:val="003B309F"/>
    <w:rsid w:val="003B7076"/>
    <w:rsid w:val="003B7EA8"/>
    <w:rsid w:val="003C1406"/>
    <w:rsid w:val="003C4187"/>
    <w:rsid w:val="003C61A6"/>
    <w:rsid w:val="003D34AE"/>
    <w:rsid w:val="003E2FFF"/>
    <w:rsid w:val="003F43FD"/>
    <w:rsid w:val="003F680E"/>
    <w:rsid w:val="00404F71"/>
    <w:rsid w:val="00410023"/>
    <w:rsid w:val="00414A5B"/>
    <w:rsid w:val="00420941"/>
    <w:rsid w:val="00423DA7"/>
    <w:rsid w:val="0042565D"/>
    <w:rsid w:val="0043282C"/>
    <w:rsid w:val="00434991"/>
    <w:rsid w:val="00434B76"/>
    <w:rsid w:val="0045798A"/>
    <w:rsid w:val="00462E2D"/>
    <w:rsid w:val="004657CD"/>
    <w:rsid w:val="00466A23"/>
    <w:rsid w:val="00480498"/>
    <w:rsid w:val="0048306A"/>
    <w:rsid w:val="004919AD"/>
    <w:rsid w:val="00493692"/>
    <w:rsid w:val="00496D4C"/>
    <w:rsid w:val="004A19E6"/>
    <w:rsid w:val="004A1C29"/>
    <w:rsid w:val="004A4A20"/>
    <w:rsid w:val="004A6B07"/>
    <w:rsid w:val="004B07A9"/>
    <w:rsid w:val="004B39AF"/>
    <w:rsid w:val="004C0243"/>
    <w:rsid w:val="004C6EAA"/>
    <w:rsid w:val="004D7730"/>
    <w:rsid w:val="004E25C7"/>
    <w:rsid w:val="004E2ABA"/>
    <w:rsid w:val="004F59CC"/>
    <w:rsid w:val="004F6062"/>
    <w:rsid w:val="004F6596"/>
    <w:rsid w:val="00500BFB"/>
    <w:rsid w:val="00500D06"/>
    <w:rsid w:val="005013B1"/>
    <w:rsid w:val="00503F1C"/>
    <w:rsid w:val="005160BF"/>
    <w:rsid w:val="00521517"/>
    <w:rsid w:val="00522AA5"/>
    <w:rsid w:val="00526815"/>
    <w:rsid w:val="00530D92"/>
    <w:rsid w:val="00532F98"/>
    <w:rsid w:val="005356AF"/>
    <w:rsid w:val="00537ACC"/>
    <w:rsid w:val="00547275"/>
    <w:rsid w:val="00552CCF"/>
    <w:rsid w:val="00555CE2"/>
    <w:rsid w:val="00556918"/>
    <w:rsid w:val="00561104"/>
    <w:rsid w:val="00565C64"/>
    <w:rsid w:val="00565CA8"/>
    <w:rsid w:val="00572132"/>
    <w:rsid w:val="00576416"/>
    <w:rsid w:val="0058010D"/>
    <w:rsid w:val="00582A5E"/>
    <w:rsid w:val="005917AB"/>
    <w:rsid w:val="005A0B8B"/>
    <w:rsid w:val="005B09ED"/>
    <w:rsid w:val="005D0160"/>
    <w:rsid w:val="005D1226"/>
    <w:rsid w:val="005D37B3"/>
    <w:rsid w:val="005D3D99"/>
    <w:rsid w:val="005D6132"/>
    <w:rsid w:val="005E15A8"/>
    <w:rsid w:val="005E1D4F"/>
    <w:rsid w:val="005F34EF"/>
    <w:rsid w:val="005F6E9A"/>
    <w:rsid w:val="00601344"/>
    <w:rsid w:val="006019EC"/>
    <w:rsid w:val="00603DA0"/>
    <w:rsid w:val="00610DDE"/>
    <w:rsid w:val="00626D0F"/>
    <w:rsid w:val="0062784A"/>
    <w:rsid w:val="0063013E"/>
    <w:rsid w:val="00631FAB"/>
    <w:rsid w:val="00632C4D"/>
    <w:rsid w:val="006346D4"/>
    <w:rsid w:val="00636D63"/>
    <w:rsid w:val="00642752"/>
    <w:rsid w:val="00643612"/>
    <w:rsid w:val="00646A18"/>
    <w:rsid w:val="00650898"/>
    <w:rsid w:val="00651DCB"/>
    <w:rsid w:val="00652471"/>
    <w:rsid w:val="00672346"/>
    <w:rsid w:val="00674BCE"/>
    <w:rsid w:val="00674CD4"/>
    <w:rsid w:val="006768D2"/>
    <w:rsid w:val="0068147A"/>
    <w:rsid w:val="00686080"/>
    <w:rsid w:val="00691196"/>
    <w:rsid w:val="006922ED"/>
    <w:rsid w:val="00697385"/>
    <w:rsid w:val="006A1DF9"/>
    <w:rsid w:val="006A68D9"/>
    <w:rsid w:val="006A7445"/>
    <w:rsid w:val="006B3599"/>
    <w:rsid w:val="006B4BC8"/>
    <w:rsid w:val="006C09E0"/>
    <w:rsid w:val="006D3AC1"/>
    <w:rsid w:val="006D3F6A"/>
    <w:rsid w:val="006D563C"/>
    <w:rsid w:val="006F5AE0"/>
    <w:rsid w:val="0071181B"/>
    <w:rsid w:val="00713866"/>
    <w:rsid w:val="00721B3E"/>
    <w:rsid w:val="00723942"/>
    <w:rsid w:val="00726638"/>
    <w:rsid w:val="007310A9"/>
    <w:rsid w:val="00742F84"/>
    <w:rsid w:val="00743691"/>
    <w:rsid w:val="007451BB"/>
    <w:rsid w:val="00745D68"/>
    <w:rsid w:val="00747B41"/>
    <w:rsid w:val="00750208"/>
    <w:rsid w:val="00754714"/>
    <w:rsid w:val="00755479"/>
    <w:rsid w:val="00771E1A"/>
    <w:rsid w:val="00777A5E"/>
    <w:rsid w:val="00781B53"/>
    <w:rsid w:val="00782FE3"/>
    <w:rsid w:val="00790791"/>
    <w:rsid w:val="0079740B"/>
    <w:rsid w:val="007A0BDE"/>
    <w:rsid w:val="007A2F69"/>
    <w:rsid w:val="007A32A0"/>
    <w:rsid w:val="007A49F1"/>
    <w:rsid w:val="007B00BC"/>
    <w:rsid w:val="007B1D27"/>
    <w:rsid w:val="007B7536"/>
    <w:rsid w:val="007C1966"/>
    <w:rsid w:val="007D61D2"/>
    <w:rsid w:val="007E6036"/>
    <w:rsid w:val="007F26A4"/>
    <w:rsid w:val="007F31E6"/>
    <w:rsid w:val="007F4F68"/>
    <w:rsid w:val="0080230C"/>
    <w:rsid w:val="00802396"/>
    <w:rsid w:val="00807AA2"/>
    <w:rsid w:val="008127D3"/>
    <w:rsid w:val="008210F9"/>
    <w:rsid w:val="0082651C"/>
    <w:rsid w:val="00827718"/>
    <w:rsid w:val="008302DA"/>
    <w:rsid w:val="00832341"/>
    <w:rsid w:val="00833BA5"/>
    <w:rsid w:val="00834893"/>
    <w:rsid w:val="00841A73"/>
    <w:rsid w:val="00866F69"/>
    <w:rsid w:val="00867896"/>
    <w:rsid w:val="008743D4"/>
    <w:rsid w:val="00874998"/>
    <w:rsid w:val="008755DD"/>
    <w:rsid w:val="008810A7"/>
    <w:rsid w:val="00885491"/>
    <w:rsid w:val="0089251E"/>
    <w:rsid w:val="008D450C"/>
    <w:rsid w:val="008D6E59"/>
    <w:rsid w:val="008E13C8"/>
    <w:rsid w:val="008E3273"/>
    <w:rsid w:val="008F4EDA"/>
    <w:rsid w:val="008F5FEC"/>
    <w:rsid w:val="00900AD9"/>
    <w:rsid w:val="0090419C"/>
    <w:rsid w:val="00905609"/>
    <w:rsid w:val="00923C34"/>
    <w:rsid w:val="00925062"/>
    <w:rsid w:val="00940F83"/>
    <w:rsid w:val="0094611E"/>
    <w:rsid w:val="00950B7C"/>
    <w:rsid w:val="00951D35"/>
    <w:rsid w:val="0095239C"/>
    <w:rsid w:val="009539BF"/>
    <w:rsid w:val="00954056"/>
    <w:rsid w:val="009643EE"/>
    <w:rsid w:val="00966CE3"/>
    <w:rsid w:val="00970400"/>
    <w:rsid w:val="00974E1C"/>
    <w:rsid w:val="009756DF"/>
    <w:rsid w:val="00980415"/>
    <w:rsid w:val="0098475C"/>
    <w:rsid w:val="00993634"/>
    <w:rsid w:val="00994AFF"/>
    <w:rsid w:val="00997B6C"/>
    <w:rsid w:val="009A179F"/>
    <w:rsid w:val="009A1E4D"/>
    <w:rsid w:val="009A7194"/>
    <w:rsid w:val="009B132B"/>
    <w:rsid w:val="009C3961"/>
    <w:rsid w:val="009E291E"/>
    <w:rsid w:val="009E67B6"/>
    <w:rsid w:val="009F7961"/>
    <w:rsid w:val="00A055F5"/>
    <w:rsid w:val="00A12670"/>
    <w:rsid w:val="00A209BB"/>
    <w:rsid w:val="00A241A8"/>
    <w:rsid w:val="00A2581C"/>
    <w:rsid w:val="00A35319"/>
    <w:rsid w:val="00A36C52"/>
    <w:rsid w:val="00A37A9B"/>
    <w:rsid w:val="00A46D31"/>
    <w:rsid w:val="00A51F4D"/>
    <w:rsid w:val="00A634E0"/>
    <w:rsid w:val="00A665D6"/>
    <w:rsid w:val="00A667D4"/>
    <w:rsid w:val="00A67F62"/>
    <w:rsid w:val="00A721CF"/>
    <w:rsid w:val="00A7465B"/>
    <w:rsid w:val="00A76157"/>
    <w:rsid w:val="00A774FF"/>
    <w:rsid w:val="00A81154"/>
    <w:rsid w:val="00A8200E"/>
    <w:rsid w:val="00AA418D"/>
    <w:rsid w:val="00AA6403"/>
    <w:rsid w:val="00AB693F"/>
    <w:rsid w:val="00AC38FC"/>
    <w:rsid w:val="00AC3AC2"/>
    <w:rsid w:val="00AC3B9F"/>
    <w:rsid w:val="00AD2996"/>
    <w:rsid w:val="00AD67E9"/>
    <w:rsid w:val="00AD7740"/>
    <w:rsid w:val="00AE396F"/>
    <w:rsid w:val="00AE42F0"/>
    <w:rsid w:val="00AE443E"/>
    <w:rsid w:val="00AF1637"/>
    <w:rsid w:val="00AF4DF5"/>
    <w:rsid w:val="00AF53F1"/>
    <w:rsid w:val="00B071AF"/>
    <w:rsid w:val="00B107C4"/>
    <w:rsid w:val="00B122BE"/>
    <w:rsid w:val="00B404A9"/>
    <w:rsid w:val="00B430F5"/>
    <w:rsid w:val="00B46311"/>
    <w:rsid w:val="00B473ED"/>
    <w:rsid w:val="00B53F5F"/>
    <w:rsid w:val="00B55788"/>
    <w:rsid w:val="00B6739B"/>
    <w:rsid w:val="00B76A7B"/>
    <w:rsid w:val="00B80087"/>
    <w:rsid w:val="00BA03DE"/>
    <w:rsid w:val="00BA226A"/>
    <w:rsid w:val="00BB05B1"/>
    <w:rsid w:val="00BB4FDC"/>
    <w:rsid w:val="00BB509C"/>
    <w:rsid w:val="00BB54F1"/>
    <w:rsid w:val="00BC19F7"/>
    <w:rsid w:val="00BC629C"/>
    <w:rsid w:val="00BC6710"/>
    <w:rsid w:val="00BD2B85"/>
    <w:rsid w:val="00BE14AD"/>
    <w:rsid w:val="00BE2D22"/>
    <w:rsid w:val="00BE3C50"/>
    <w:rsid w:val="00BE4022"/>
    <w:rsid w:val="00BE5B2F"/>
    <w:rsid w:val="00BE7C5D"/>
    <w:rsid w:val="00BF041D"/>
    <w:rsid w:val="00BF16AA"/>
    <w:rsid w:val="00BF3B20"/>
    <w:rsid w:val="00BF40AE"/>
    <w:rsid w:val="00BF4F54"/>
    <w:rsid w:val="00C02557"/>
    <w:rsid w:val="00C05FD9"/>
    <w:rsid w:val="00C245DD"/>
    <w:rsid w:val="00C34C76"/>
    <w:rsid w:val="00C34FA6"/>
    <w:rsid w:val="00C355D2"/>
    <w:rsid w:val="00C41243"/>
    <w:rsid w:val="00C50F66"/>
    <w:rsid w:val="00C57CB9"/>
    <w:rsid w:val="00C611F1"/>
    <w:rsid w:val="00C6417F"/>
    <w:rsid w:val="00C735D4"/>
    <w:rsid w:val="00C77F7B"/>
    <w:rsid w:val="00C81136"/>
    <w:rsid w:val="00C81904"/>
    <w:rsid w:val="00C828B9"/>
    <w:rsid w:val="00C82A9A"/>
    <w:rsid w:val="00C82DB3"/>
    <w:rsid w:val="00C90FB4"/>
    <w:rsid w:val="00C910A3"/>
    <w:rsid w:val="00C929FE"/>
    <w:rsid w:val="00C93BC9"/>
    <w:rsid w:val="00CA39FC"/>
    <w:rsid w:val="00CA3FF8"/>
    <w:rsid w:val="00CA4FA5"/>
    <w:rsid w:val="00CB2997"/>
    <w:rsid w:val="00CC724E"/>
    <w:rsid w:val="00CC7B60"/>
    <w:rsid w:val="00CD5A76"/>
    <w:rsid w:val="00CD758D"/>
    <w:rsid w:val="00D02DC7"/>
    <w:rsid w:val="00D121D6"/>
    <w:rsid w:val="00D16F44"/>
    <w:rsid w:val="00D223E6"/>
    <w:rsid w:val="00D33839"/>
    <w:rsid w:val="00D3537A"/>
    <w:rsid w:val="00D35545"/>
    <w:rsid w:val="00D4219A"/>
    <w:rsid w:val="00D45E11"/>
    <w:rsid w:val="00D50DF9"/>
    <w:rsid w:val="00D5770D"/>
    <w:rsid w:val="00D67C8C"/>
    <w:rsid w:val="00D75745"/>
    <w:rsid w:val="00D817D9"/>
    <w:rsid w:val="00D824B0"/>
    <w:rsid w:val="00D83898"/>
    <w:rsid w:val="00D84824"/>
    <w:rsid w:val="00D86EB8"/>
    <w:rsid w:val="00D9483B"/>
    <w:rsid w:val="00DA024A"/>
    <w:rsid w:val="00DA0C1C"/>
    <w:rsid w:val="00DA5C3A"/>
    <w:rsid w:val="00DB661E"/>
    <w:rsid w:val="00DB67F1"/>
    <w:rsid w:val="00DC67CC"/>
    <w:rsid w:val="00DD0AB3"/>
    <w:rsid w:val="00DD52D8"/>
    <w:rsid w:val="00DE23AE"/>
    <w:rsid w:val="00DE527D"/>
    <w:rsid w:val="00DF1AD8"/>
    <w:rsid w:val="00E004E2"/>
    <w:rsid w:val="00E03713"/>
    <w:rsid w:val="00E03E89"/>
    <w:rsid w:val="00E13C39"/>
    <w:rsid w:val="00E154EF"/>
    <w:rsid w:val="00E20A50"/>
    <w:rsid w:val="00E21B6E"/>
    <w:rsid w:val="00E23129"/>
    <w:rsid w:val="00E36BF7"/>
    <w:rsid w:val="00E371CA"/>
    <w:rsid w:val="00E40EAA"/>
    <w:rsid w:val="00E5007B"/>
    <w:rsid w:val="00E51BCB"/>
    <w:rsid w:val="00E547BB"/>
    <w:rsid w:val="00E55CE7"/>
    <w:rsid w:val="00E60442"/>
    <w:rsid w:val="00E65380"/>
    <w:rsid w:val="00E661A2"/>
    <w:rsid w:val="00E7700F"/>
    <w:rsid w:val="00E80823"/>
    <w:rsid w:val="00E83B1B"/>
    <w:rsid w:val="00E94D4B"/>
    <w:rsid w:val="00E95622"/>
    <w:rsid w:val="00E966F8"/>
    <w:rsid w:val="00E968B7"/>
    <w:rsid w:val="00EA6C1E"/>
    <w:rsid w:val="00EB215E"/>
    <w:rsid w:val="00EC323F"/>
    <w:rsid w:val="00ED0DD3"/>
    <w:rsid w:val="00ED2FAC"/>
    <w:rsid w:val="00ED785A"/>
    <w:rsid w:val="00EF1090"/>
    <w:rsid w:val="00EF3A4D"/>
    <w:rsid w:val="00EF4AF8"/>
    <w:rsid w:val="00EF6141"/>
    <w:rsid w:val="00F04FB2"/>
    <w:rsid w:val="00F05431"/>
    <w:rsid w:val="00F10A6F"/>
    <w:rsid w:val="00F25DD9"/>
    <w:rsid w:val="00F3084A"/>
    <w:rsid w:val="00F347D3"/>
    <w:rsid w:val="00F36563"/>
    <w:rsid w:val="00F40760"/>
    <w:rsid w:val="00F5672B"/>
    <w:rsid w:val="00F60D2F"/>
    <w:rsid w:val="00F63842"/>
    <w:rsid w:val="00F6422E"/>
    <w:rsid w:val="00F6670F"/>
    <w:rsid w:val="00F76B08"/>
    <w:rsid w:val="00F86251"/>
    <w:rsid w:val="00F86D00"/>
    <w:rsid w:val="00F92405"/>
    <w:rsid w:val="00F962FC"/>
    <w:rsid w:val="00F96E2B"/>
    <w:rsid w:val="00FB1E84"/>
    <w:rsid w:val="00FB30A9"/>
    <w:rsid w:val="00FB503C"/>
    <w:rsid w:val="00FC52B3"/>
    <w:rsid w:val="00FC7288"/>
    <w:rsid w:val="00FD4059"/>
    <w:rsid w:val="00FD45B5"/>
    <w:rsid w:val="00FE2FA9"/>
    <w:rsid w:val="00FE5D90"/>
    <w:rsid w:val="00FE60FB"/>
    <w:rsid w:val="00FE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75118"/>
  <w15:docId w15:val="{2E4203E8-79CE-4D42-A996-CF8FBF19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CD4"/>
    <w:pPr>
      <w:spacing w:before="20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672346"/>
    <w:pPr>
      <w:keepNext/>
      <w:keepLines/>
      <w:spacing w:before="480" w:after="0"/>
      <w:outlineLvl w:val="0"/>
    </w:pPr>
    <w:rPr>
      <w:rFonts w:asciiTheme="majorHAnsi" w:eastAsiaTheme="majorEastAsia" w:hAnsiTheme="majorHAnsi" w:cstheme="majorBidi"/>
      <w:b/>
      <w:bCs/>
      <w:color w:val="2C245E" w:themeColor="accent1"/>
      <w:sz w:val="48"/>
      <w:szCs w:val="28"/>
    </w:rPr>
  </w:style>
  <w:style w:type="paragraph" w:styleId="Heading2">
    <w:name w:val="heading 2"/>
    <w:basedOn w:val="Normal"/>
    <w:next w:val="Normal"/>
    <w:link w:val="Heading2Char"/>
    <w:uiPriority w:val="9"/>
    <w:unhideWhenUsed/>
    <w:qFormat/>
    <w:rsid w:val="00672346"/>
    <w:pPr>
      <w:keepNext/>
      <w:keepLines/>
      <w:spacing w:after="0"/>
      <w:outlineLvl w:val="1"/>
    </w:pPr>
    <w:rPr>
      <w:rFonts w:asciiTheme="majorHAnsi" w:eastAsiaTheme="majorEastAsia" w:hAnsiTheme="majorHAnsi" w:cstheme="majorBidi"/>
      <w:b/>
      <w:bCs/>
      <w:color w:val="2C245E" w:themeColor="accent1"/>
      <w:sz w:val="32"/>
      <w:szCs w:val="26"/>
    </w:rPr>
  </w:style>
  <w:style w:type="paragraph" w:styleId="Heading3">
    <w:name w:val="heading 3"/>
    <w:basedOn w:val="Normal"/>
    <w:next w:val="Normal"/>
    <w:link w:val="Heading3Char"/>
    <w:uiPriority w:val="9"/>
    <w:unhideWhenUsed/>
    <w:qFormat/>
    <w:rsid w:val="00E03713"/>
    <w:pPr>
      <w:keepNext/>
      <w:keepLines/>
      <w:spacing w:after="0"/>
      <w:outlineLvl w:val="2"/>
    </w:pPr>
    <w:rPr>
      <w:rFonts w:asciiTheme="majorHAnsi" w:eastAsiaTheme="majorEastAsia" w:hAnsiTheme="majorHAnsi" w:cstheme="majorBidi"/>
      <w:b/>
      <w:bCs/>
      <w:sz w:val="26"/>
    </w:rPr>
  </w:style>
  <w:style w:type="paragraph" w:styleId="Heading4">
    <w:name w:val="heading 4"/>
    <w:basedOn w:val="Normal"/>
    <w:next w:val="Normal"/>
    <w:link w:val="Heading4Char"/>
    <w:rsid w:val="00940F8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rsid w:val="00672346"/>
    <w:pPr>
      <w:keepNext/>
      <w:keepLines/>
      <w:spacing w:before="40" w:after="0"/>
      <w:outlineLvl w:val="4"/>
    </w:pPr>
    <w:rPr>
      <w:rFonts w:asciiTheme="majorHAnsi" w:eastAsiaTheme="majorEastAsia" w:hAnsiTheme="majorHAnsi" w:cstheme="majorBidi"/>
      <w:color w:val="2C245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40F83"/>
    <w:rPr>
      <w:rFonts w:ascii="Times New Roman" w:eastAsia="Times New Roman" w:hAnsi="Times New Roman" w:cs="Times New Roman"/>
      <w:b/>
      <w:bCs/>
      <w:sz w:val="28"/>
      <w:szCs w:val="28"/>
      <w:lang w:eastAsia="en-GB"/>
    </w:rPr>
  </w:style>
  <w:style w:type="paragraph" w:customStyle="1" w:styleId="Default">
    <w:name w:val="Default"/>
    <w:rsid w:val="00940F8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NormalWeb3">
    <w:name w:val="Normal (Web)3"/>
    <w:basedOn w:val="Normal"/>
    <w:rsid w:val="00940F83"/>
    <w:pPr>
      <w:spacing w:before="0" w:after="180"/>
      <w:ind w:right="240"/>
    </w:pPr>
    <w:rPr>
      <w:rFonts w:ascii="Times New Roman" w:hAnsi="Times New Roman"/>
    </w:rPr>
  </w:style>
  <w:style w:type="paragraph" w:styleId="ListParagraph">
    <w:name w:val="List Paragraph"/>
    <w:basedOn w:val="Normal"/>
    <w:link w:val="ListParagraphChar"/>
    <w:uiPriority w:val="34"/>
    <w:rsid w:val="00940F83"/>
    <w:pPr>
      <w:spacing w:before="0" w:line="276" w:lineRule="auto"/>
      <w:ind w:left="720"/>
      <w:contextualSpacing/>
    </w:pPr>
    <w:rPr>
      <w:rFonts w:asciiTheme="minorHAnsi" w:eastAsiaTheme="minorHAnsi" w:hAnsiTheme="minorHAnsi" w:cstheme="minorBidi"/>
      <w:szCs w:val="22"/>
      <w:lang w:eastAsia="en-US"/>
    </w:rPr>
  </w:style>
  <w:style w:type="paragraph" w:styleId="Header">
    <w:name w:val="header"/>
    <w:basedOn w:val="Normal"/>
    <w:link w:val="HeaderChar"/>
    <w:uiPriority w:val="99"/>
    <w:unhideWhenUsed/>
    <w:rsid w:val="00940F83"/>
    <w:pPr>
      <w:tabs>
        <w:tab w:val="center" w:pos="4513"/>
        <w:tab w:val="right" w:pos="9026"/>
      </w:tabs>
      <w:spacing w:before="0" w:after="0"/>
    </w:pPr>
  </w:style>
  <w:style w:type="character" w:customStyle="1" w:styleId="HeaderChar">
    <w:name w:val="Header Char"/>
    <w:basedOn w:val="DefaultParagraphFont"/>
    <w:link w:val="Header"/>
    <w:uiPriority w:val="99"/>
    <w:rsid w:val="00940F83"/>
    <w:rPr>
      <w:rFonts w:ascii="Arial" w:eastAsia="Times New Roman" w:hAnsi="Arial" w:cs="Times New Roman"/>
      <w:szCs w:val="24"/>
      <w:lang w:eastAsia="en-GB"/>
    </w:rPr>
  </w:style>
  <w:style w:type="paragraph" w:styleId="Footer">
    <w:name w:val="footer"/>
    <w:basedOn w:val="Normal"/>
    <w:link w:val="FooterChar"/>
    <w:uiPriority w:val="99"/>
    <w:unhideWhenUsed/>
    <w:rsid w:val="00940F83"/>
    <w:pPr>
      <w:tabs>
        <w:tab w:val="center" w:pos="4513"/>
        <w:tab w:val="right" w:pos="9026"/>
      </w:tabs>
      <w:spacing w:before="0" w:after="0"/>
    </w:pPr>
  </w:style>
  <w:style w:type="character" w:customStyle="1" w:styleId="FooterChar">
    <w:name w:val="Footer Char"/>
    <w:basedOn w:val="DefaultParagraphFont"/>
    <w:link w:val="Footer"/>
    <w:uiPriority w:val="99"/>
    <w:rsid w:val="00940F83"/>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940F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83"/>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672346"/>
    <w:rPr>
      <w:rFonts w:asciiTheme="majorHAnsi" w:eastAsiaTheme="majorEastAsia" w:hAnsiTheme="majorHAnsi" w:cstheme="majorBidi"/>
      <w:b/>
      <w:bCs/>
      <w:color w:val="2C245E" w:themeColor="accent1"/>
      <w:sz w:val="48"/>
      <w:szCs w:val="28"/>
      <w:lang w:eastAsia="en-GB"/>
    </w:rPr>
  </w:style>
  <w:style w:type="character" w:customStyle="1" w:styleId="Heading2Char">
    <w:name w:val="Heading 2 Char"/>
    <w:basedOn w:val="DefaultParagraphFont"/>
    <w:link w:val="Heading2"/>
    <w:uiPriority w:val="9"/>
    <w:rsid w:val="00672346"/>
    <w:rPr>
      <w:rFonts w:asciiTheme="majorHAnsi" w:eastAsiaTheme="majorEastAsia" w:hAnsiTheme="majorHAnsi" w:cstheme="majorBidi"/>
      <w:b/>
      <w:bCs/>
      <w:color w:val="2C245E" w:themeColor="accent1"/>
      <w:sz w:val="32"/>
      <w:szCs w:val="26"/>
      <w:lang w:eastAsia="en-GB"/>
    </w:rPr>
  </w:style>
  <w:style w:type="character" w:customStyle="1" w:styleId="Heading3Char">
    <w:name w:val="Heading 3 Char"/>
    <w:basedOn w:val="DefaultParagraphFont"/>
    <w:link w:val="Heading3"/>
    <w:uiPriority w:val="9"/>
    <w:rsid w:val="00E03713"/>
    <w:rPr>
      <w:rFonts w:asciiTheme="majorHAnsi" w:eastAsiaTheme="majorEastAsia" w:hAnsiTheme="majorHAnsi" w:cstheme="majorBidi"/>
      <w:b/>
      <w:bCs/>
      <w:sz w:val="26"/>
      <w:szCs w:val="24"/>
      <w:lang w:eastAsia="en-GB"/>
    </w:rPr>
  </w:style>
  <w:style w:type="character" w:styleId="Hyperlink">
    <w:name w:val="Hyperlink"/>
    <w:basedOn w:val="DefaultParagraphFont"/>
    <w:uiPriority w:val="99"/>
    <w:unhideWhenUsed/>
    <w:rsid w:val="001F2A2D"/>
    <w:rPr>
      <w:color w:val="0000FF"/>
      <w:u w:val="single"/>
    </w:rPr>
  </w:style>
  <w:style w:type="paragraph" w:styleId="TOCHeading">
    <w:name w:val="TOC Heading"/>
    <w:basedOn w:val="Heading1"/>
    <w:next w:val="Normal"/>
    <w:uiPriority w:val="39"/>
    <w:unhideWhenUsed/>
    <w:qFormat/>
    <w:rsid w:val="00A241A8"/>
    <w:pPr>
      <w:spacing w:line="276" w:lineRule="auto"/>
      <w:outlineLvl w:val="9"/>
    </w:pPr>
    <w:rPr>
      <w:color w:val="201B46" w:themeColor="accent1" w:themeShade="BF"/>
      <w:lang w:val="en-US" w:eastAsia="ja-JP"/>
    </w:rPr>
  </w:style>
  <w:style w:type="paragraph" w:styleId="TOC1">
    <w:name w:val="toc 1"/>
    <w:basedOn w:val="Normal"/>
    <w:next w:val="Normal"/>
    <w:autoRedefine/>
    <w:uiPriority w:val="39"/>
    <w:unhideWhenUsed/>
    <w:rsid w:val="00A241A8"/>
    <w:pPr>
      <w:spacing w:after="100"/>
    </w:pPr>
  </w:style>
  <w:style w:type="paragraph" w:styleId="TOC2">
    <w:name w:val="toc 2"/>
    <w:basedOn w:val="Normal"/>
    <w:next w:val="Normal"/>
    <w:autoRedefine/>
    <w:uiPriority w:val="39"/>
    <w:unhideWhenUsed/>
    <w:rsid w:val="00A241A8"/>
    <w:pPr>
      <w:spacing w:after="100"/>
      <w:ind w:left="220"/>
    </w:pPr>
  </w:style>
  <w:style w:type="paragraph" w:styleId="TOC3">
    <w:name w:val="toc 3"/>
    <w:basedOn w:val="Normal"/>
    <w:next w:val="Normal"/>
    <w:autoRedefine/>
    <w:uiPriority w:val="39"/>
    <w:unhideWhenUsed/>
    <w:rsid w:val="00A241A8"/>
    <w:pPr>
      <w:spacing w:after="100"/>
      <w:ind w:left="440"/>
    </w:pPr>
  </w:style>
  <w:style w:type="table" w:styleId="TableGrid">
    <w:name w:val="Table Grid"/>
    <w:basedOn w:val="TableNormal"/>
    <w:uiPriority w:val="59"/>
    <w:rsid w:val="00A6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034D10"/>
    <w:pPr>
      <w:spacing w:before="0"/>
    </w:pPr>
    <w:rPr>
      <w:b/>
      <w:bCs/>
      <w:color w:val="2C245E" w:themeColor="accent1"/>
      <w:sz w:val="18"/>
      <w:szCs w:val="18"/>
    </w:rPr>
  </w:style>
  <w:style w:type="character" w:styleId="SubtleEmphasis">
    <w:name w:val="Subtle Emphasis"/>
    <w:basedOn w:val="DefaultParagraphFont"/>
    <w:uiPriority w:val="19"/>
    <w:rsid w:val="00E154EF"/>
    <w:rPr>
      <w:i/>
      <w:iCs/>
      <w:color w:val="808080" w:themeColor="text1" w:themeTint="7F"/>
    </w:rPr>
  </w:style>
  <w:style w:type="character" w:styleId="Emphasis">
    <w:name w:val="Emphasis"/>
    <w:basedOn w:val="DefaultParagraphFont"/>
    <w:uiPriority w:val="20"/>
    <w:rsid w:val="00E154EF"/>
    <w:rPr>
      <w:i/>
      <w:iCs/>
    </w:rPr>
  </w:style>
  <w:style w:type="character" w:styleId="IntenseEmphasis">
    <w:name w:val="Intense Emphasis"/>
    <w:basedOn w:val="DefaultParagraphFont"/>
    <w:uiPriority w:val="21"/>
    <w:rsid w:val="00E154EF"/>
    <w:rPr>
      <w:b/>
      <w:bCs/>
      <w:i/>
      <w:iCs/>
      <w:color w:val="2C245E" w:themeColor="accent1"/>
    </w:rPr>
  </w:style>
  <w:style w:type="paragraph" w:customStyle="1" w:styleId="Bulletpoints">
    <w:name w:val="Bullet points"/>
    <w:basedOn w:val="ListParagraph"/>
    <w:link w:val="BulletpointsChar"/>
    <w:qFormat/>
    <w:rsid w:val="00E154EF"/>
    <w:pPr>
      <w:numPr>
        <w:numId w:val="29"/>
      </w:numPr>
    </w:pPr>
  </w:style>
  <w:style w:type="paragraph" w:customStyle="1" w:styleId="Numberedlists">
    <w:name w:val="Numbered lists"/>
    <w:basedOn w:val="ListParagraph"/>
    <w:link w:val="NumberedlistsChar"/>
    <w:qFormat/>
    <w:rsid w:val="00713866"/>
    <w:pPr>
      <w:numPr>
        <w:numId w:val="30"/>
      </w:numPr>
    </w:pPr>
  </w:style>
  <w:style w:type="character" w:customStyle="1" w:styleId="ListParagraphChar">
    <w:name w:val="List Paragraph Char"/>
    <w:basedOn w:val="DefaultParagraphFont"/>
    <w:link w:val="ListParagraph"/>
    <w:uiPriority w:val="34"/>
    <w:rsid w:val="00E154EF"/>
  </w:style>
  <w:style w:type="character" w:customStyle="1" w:styleId="BulletpointsChar">
    <w:name w:val="Bullet points Char"/>
    <w:basedOn w:val="ListParagraphChar"/>
    <w:link w:val="Bulletpoints"/>
    <w:rsid w:val="00E154EF"/>
  </w:style>
  <w:style w:type="paragraph" w:styleId="Revision">
    <w:name w:val="Revision"/>
    <w:hidden/>
    <w:uiPriority w:val="99"/>
    <w:semiHidden/>
    <w:rsid w:val="009A7194"/>
    <w:pPr>
      <w:spacing w:after="0" w:line="240" w:lineRule="auto"/>
    </w:pPr>
    <w:rPr>
      <w:rFonts w:ascii="Arial" w:eastAsia="Times New Roman" w:hAnsi="Arial" w:cs="Times New Roman"/>
      <w:szCs w:val="24"/>
      <w:lang w:eastAsia="en-GB"/>
    </w:rPr>
  </w:style>
  <w:style w:type="character" w:customStyle="1" w:styleId="NumberedlistsChar">
    <w:name w:val="Numbered lists Char"/>
    <w:basedOn w:val="ListParagraphChar"/>
    <w:link w:val="Numberedlists"/>
    <w:rsid w:val="00713866"/>
  </w:style>
  <w:style w:type="character" w:styleId="CommentReference">
    <w:name w:val="annotation reference"/>
    <w:basedOn w:val="DefaultParagraphFont"/>
    <w:uiPriority w:val="99"/>
    <w:semiHidden/>
    <w:unhideWhenUsed/>
    <w:rsid w:val="00FC7288"/>
    <w:rPr>
      <w:sz w:val="16"/>
      <w:szCs w:val="16"/>
    </w:rPr>
  </w:style>
  <w:style w:type="paragraph" w:styleId="CommentText">
    <w:name w:val="annotation text"/>
    <w:basedOn w:val="Normal"/>
    <w:link w:val="CommentTextChar"/>
    <w:uiPriority w:val="99"/>
    <w:unhideWhenUsed/>
    <w:rsid w:val="00FC7288"/>
    <w:rPr>
      <w:sz w:val="20"/>
      <w:szCs w:val="20"/>
    </w:rPr>
  </w:style>
  <w:style w:type="character" w:customStyle="1" w:styleId="CommentTextChar">
    <w:name w:val="Comment Text Char"/>
    <w:basedOn w:val="DefaultParagraphFont"/>
    <w:link w:val="CommentText"/>
    <w:uiPriority w:val="99"/>
    <w:rsid w:val="00FC728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7288"/>
    <w:rPr>
      <w:b/>
      <w:bCs/>
    </w:rPr>
  </w:style>
  <w:style w:type="character" w:customStyle="1" w:styleId="CommentSubjectChar">
    <w:name w:val="Comment Subject Char"/>
    <w:basedOn w:val="CommentTextChar"/>
    <w:link w:val="CommentSubject"/>
    <w:uiPriority w:val="99"/>
    <w:semiHidden/>
    <w:rsid w:val="00FC7288"/>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FC7288"/>
    <w:rPr>
      <w:color w:val="954F72" w:themeColor="followedHyperlink"/>
      <w:u w:val="single"/>
    </w:rPr>
  </w:style>
  <w:style w:type="paragraph" w:customStyle="1" w:styleId="NoParagraphStyle">
    <w:name w:val="[No Paragraph Style]"/>
    <w:rsid w:val="0095239C"/>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US"/>
    </w:rPr>
  </w:style>
  <w:style w:type="paragraph" w:customStyle="1" w:styleId="BasicParagraph">
    <w:name w:val="[Basic Paragraph]"/>
    <w:basedOn w:val="NoParagraphStyle"/>
    <w:uiPriority w:val="99"/>
    <w:rsid w:val="0095239C"/>
    <w:rPr>
      <w:rFonts w:eastAsia="Times New Roman"/>
    </w:rPr>
  </w:style>
  <w:style w:type="character" w:styleId="UnresolvedMention">
    <w:name w:val="Unresolved Mention"/>
    <w:basedOn w:val="DefaultParagraphFont"/>
    <w:uiPriority w:val="99"/>
    <w:semiHidden/>
    <w:unhideWhenUsed/>
    <w:rsid w:val="0004241B"/>
    <w:rPr>
      <w:color w:val="605E5C"/>
      <w:shd w:val="clear" w:color="auto" w:fill="E1DFDD"/>
    </w:rPr>
  </w:style>
  <w:style w:type="character" w:styleId="PageNumber">
    <w:name w:val="page number"/>
    <w:basedOn w:val="DefaultParagraphFont"/>
    <w:uiPriority w:val="99"/>
    <w:semiHidden/>
    <w:unhideWhenUsed/>
    <w:rsid w:val="0004241B"/>
  </w:style>
  <w:style w:type="character" w:customStyle="1" w:styleId="apple-converted-space">
    <w:name w:val="apple-converted-space"/>
    <w:basedOn w:val="DefaultParagraphFont"/>
    <w:rsid w:val="004F59CC"/>
  </w:style>
  <w:style w:type="character" w:customStyle="1" w:styleId="Heading5Char">
    <w:name w:val="Heading 5 Char"/>
    <w:basedOn w:val="DefaultParagraphFont"/>
    <w:link w:val="Heading5"/>
    <w:uiPriority w:val="9"/>
    <w:semiHidden/>
    <w:rsid w:val="00672346"/>
    <w:rPr>
      <w:rFonts w:asciiTheme="majorHAnsi" w:eastAsiaTheme="majorEastAsia" w:hAnsiTheme="majorHAnsi" w:cstheme="majorBidi"/>
      <w:color w:val="2C245E" w:themeColor="accent1"/>
      <w:sz w:val="24"/>
      <w:szCs w:val="24"/>
      <w:lang w:eastAsia="en-GB"/>
    </w:rPr>
  </w:style>
  <w:style w:type="character" w:styleId="IntenseReference">
    <w:name w:val="Intense Reference"/>
    <w:basedOn w:val="DefaultParagraphFont"/>
    <w:uiPriority w:val="32"/>
    <w:rsid w:val="00672346"/>
    <w:rPr>
      <w:b/>
      <w:bCs/>
      <w:smallCaps/>
      <w:color w:val="2C245E" w:themeColor="accent1"/>
      <w:spacing w:val="5"/>
    </w:rPr>
  </w:style>
  <w:style w:type="paragraph" w:styleId="NormalWeb">
    <w:name w:val="Normal (Web)"/>
    <w:basedOn w:val="Normal"/>
    <w:uiPriority w:val="99"/>
    <w:unhideWhenUsed/>
    <w:rsid w:val="002F498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5089">
      <w:bodyDiv w:val="1"/>
      <w:marLeft w:val="0"/>
      <w:marRight w:val="0"/>
      <w:marTop w:val="0"/>
      <w:marBottom w:val="0"/>
      <w:divBdr>
        <w:top w:val="none" w:sz="0" w:space="0" w:color="auto"/>
        <w:left w:val="none" w:sz="0" w:space="0" w:color="auto"/>
        <w:bottom w:val="none" w:sz="0" w:space="0" w:color="auto"/>
        <w:right w:val="none" w:sz="0" w:space="0" w:color="auto"/>
      </w:divBdr>
    </w:div>
    <w:div w:id="978388277">
      <w:bodyDiv w:val="1"/>
      <w:marLeft w:val="0"/>
      <w:marRight w:val="0"/>
      <w:marTop w:val="0"/>
      <w:marBottom w:val="0"/>
      <w:divBdr>
        <w:top w:val="none" w:sz="0" w:space="0" w:color="auto"/>
        <w:left w:val="none" w:sz="0" w:space="0" w:color="auto"/>
        <w:bottom w:val="none" w:sz="0" w:space="0" w:color="auto"/>
        <w:right w:val="none" w:sz="0" w:space="0" w:color="auto"/>
      </w:divBdr>
    </w:div>
    <w:div w:id="154875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4.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www.rcpsych.ac.uk/docs/default-source/improving-care/nccmh/net-zero-mhc/delivering-greener--more-sustainable-and-net-zero-mental-health-care---guidance-and-recommendations.pdf?sfvrsn=c119e9d4_6" TargetMode="Externa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bdct-my.sharepoint.com/personal/matthew_riley_bdct_nhs_uk/Documents/Documents/Book1%20(version%201).xls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bdct-my.sharepoint.com/personal/matthew_riley_bdct_nhs_uk/Documents/Documents/Book1%20(version%201).xls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bdct-my.sharepoint.com/personal/matthew_riley_bdct_nhs_uk/Documents/Documents/Book1%20(version%201).xls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bdct-my.sharepoint.com/personal/matthew_riley_bdct_nhs_uk/Documents/Documents/Book1%20(version%201).xls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bdct-my.sharepoint.com/personal/matthew_riley_bdct_nhs_uk/Documents/Documents/Book1%20(version%201).xlsb.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bdct-my.sharepoint.com/personal/matthew_riley_bdct_nhs_uk/Documents/Documents/Book1%20(version%201).xlsb.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bdct-my.sharepoint.com/personal/matthew_riley_bdct_nhs_uk/Documents/Documents/Book1%20(version%201).xlsb.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bdct-my.sharepoint.com/personal/matthew_riley_bdct_nhs_uk/Documents/Documents/ReQoL10%20PHB%20Feedback.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applications per ward for one off personal health budgets in mental health </a:t>
            </a:r>
          </a:p>
          <a:p>
            <a:pPr>
              <a:defRPr/>
            </a:pPr>
            <a:r>
              <a:rPr lang="en-US"/>
              <a:t>(February 2024 - July 2024) 110 applications total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'Ward Applications'!$B$1</c:f>
              <c:strCache>
                <c:ptCount val="1"/>
                <c:pt idx="0">
                  <c:v>Number of application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'Ward Applications'!$A$2:$A$16</c:f>
              <c:strCache>
                <c:ptCount val="15"/>
                <c:pt idx="0">
                  <c:v>Ashbrook</c:v>
                </c:pt>
                <c:pt idx="1">
                  <c:v>Baildon</c:v>
                </c:pt>
                <c:pt idx="2">
                  <c:v>Bracken</c:v>
                </c:pt>
                <c:pt idx="3">
                  <c:v>Clover</c:v>
                </c:pt>
                <c:pt idx="4">
                  <c:v>Dementia Assessment Unit</c:v>
                </c:pt>
                <c:pt idx="5">
                  <c:v>Fern</c:v>
                </c:pt>
                <c:pt idx="6">
                  <c:v>Heather</c:v>
                </c:pt>
                <c:pt idx="7">
                  <c:v>Ilkley</c:v>
                </c:pt>
                <c:pt idx="8">
                  <c:v>Maplebeck</c:v>
                </c:pt>
                <c:pt idx="9">
                  <c:v>Oakburn</c:v>
                </c:pt>
                <c:pt idx="10">
                  <c:v>Out of Area</c:v>
                </c:pt>
                <c:pt idx="11">
                  <c:v>Step Forward Centre</c:v>
                </c:pt>
                <c:pt idx="12">
                  <c:v>TIPP (Community)</c:v>
                </c:pt>
                <c:pt idx="13">
                  <c:v>CAMHS (Inpatient)</c:v>
                </c:pt>
                <c:pt idx="14">
                  <c:v>Najurally</c:v>
                </c:pt>
              </c:strCache>
            </c:strRef>
          </c:cat>
          <c:val>
            <c:numRef>
              <c:f>'Ward Applications'!$B$2:$B$16</c:f>
              <c:numCache>
                <c:formatCode>General</c:formatCode>
                <c:ptCount val="15"/>
                <c:pt idx="0">
                  <c:v>14</c:v>
                </c:pt>
                <c:pt idx="1">
                  <c:v>1</c:v>
                </c:pt>
                <c:pt idx="2">
                  <c:v>1</c:v>
                </c:pt>
                <c:pt idx="3">
                  <c:v>3</c:v>
                </c:pt>
                <c:pt idx="4">
                  <c:v>2</c:v>
                </c:pt>
                <c:pt idx="5">
                  <c:v>15</c:v>
                </c:pt>
                <c:pt idx="6">
                  <c:v>5</c:v>
                </c:pt>
                <c:pt idx="7">
                  <c:v>1</c:v>
                </c:pt>
                <c:pt idx="8">
                  <c:v>26</c:v>
                </c:pt>
                <c:pt idx="9">
                  <c:v>12</c:v>
                </c:pt>
                <c:pt idx="10">
                  <c:v>2</c:v>
                </c:pt>
                <c:pt idx="11">
                  <c:v>17</c:v>
                </c:pt>
                <c:pt idx="12">
                  <c:v>11</c:v>
                </c:pt>
                <c:pt idx="13">
                  <c:v>0</c:v>
                </c:pt>
                <c:pt idx="14">
                  <c:v>0</c:v>
                </c:pt>
              </c:numCache>
            </c:numRef>
          </c:val>
          <c:extLst>
            <c:ext xmlns:c16="http://schemas.microsoft.com/office/drawing/2014/chart" uri="{C3380CC4-5D6E-409C-BE32-E72D297353CC}">
              <c16:uniqueId val="{00000000-9FE3-4F15-AE39-E41655138925}"/>
            </c:ext>
          </c:extLst>
        </c:ser>
        <c:dLbls>
          <c:dLblPos val="outEnd"/>
          <c:showLegendKey val="0"/>
          <c:showVal val="1"/>
          <c:showCatName val="0"/>
          <c:showSerName val="0"/>
          <c:showPercent val="0"/>
          <c:showBubbleSize val="0"/>
        </c:dLbls>
        <c:gapWidth val="219"/>
        <c:overlap val="-27"/>
        <c:axId val="305843040"/>
        <c:axId val="305844000"/>
      </c:barChart>
      <c:catAx>
        <c:axId val="30584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844000"/>
        <c:crosses val="autoZero"/>
        <c:auto val="1"/>
        <c:lblAlgn val="ctr"/>
        <c:lblOffset val="100"/>
        <c:noMultiLvlLbl val="0"/>
      </c:catAx>
      <c:valAx>
        <c:axId val="305844000"/>
        <c:scaling>
          <c:orientation val="minMax"/>
        </c:scaling>
        <c:delete val="0"/>
        <c:axPos val="l"/>
        <c:majorGridlines>
          <c:spPr>
            <a:ln w="12700" cap="flat" cmpd="sng" algn="ctr">
              <a:noFill/>
              <a:prstDash val="solid"/>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843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 of applications per type of ward for one off personal health budgets in mental health</a:t>
            </a:r>
            <a:r>
              <a:rPr lang="en-GB" baseline="0"/>
              <a:t> </a:t>
            </a:r>
          </a:p>
          <a:p>
            <a:pPr>
              <a:defRPr/>
            </a:pPr>
            <a:r>
              <a:rPr lang="en-GB" baseline="0"/>
              <a:t>(February 2024 - July 2024) 110 applications total</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7025371828521445E-2"/>
          <c:y val="0.19486111111111112"/>
          <c:w val="0.90297462817147855"/>
          <c:h val="0.418477690288713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'Ward Applications'!$A$18:$A$28</c:f>
              <c:strCache>
                <c:ptCount val="11"/>
                <c:pt idx="0">
                  <c:v>Acute Male</c:v>
                </c:pt>
                <c:pt idx="1">
                  <c:v>Acute Female</c:v>
                </c:pt>
                <c:pt idx="2">
                  <c:v>Older People</c:v>
                </c:pt>
                <c:pt idx="3">
                  <c:v>PICU</c:v>
                </c:pt>
                <c:pt idx="4">
                  <c:v>Low Secure</c:v>
                </c:pt>
                <c:pt idx="5">
                  <c:v>Dementia Assessment Unit</c:v>
                </c:pt>
                <c:pt idx="6">
                  <c:v>Najurally (Learning Disabilities)</c:v>
                </c:pt>
                <c:pt idx="7">
                  <c:v>CAMHS Inpatient</c:v>
                </c:pt>
                <c:pt idx="8">
                  <c:v>TIPP (Community)</c:v>
                </c:pt>
                <c:pt idx="9">
                  <c:v>Step Forward (Inpatient Rehabillitation)</c:v>
                </c:pt>
                <c:pt idx="10">
                  <c:v>Out of Area</c:v>
                </c:pt>
              </c:strCache>
            </c:strRef>
          </c:cat>
          <c:val>
            <c:numRef>
              <c:f>'Ward Applications'!$B$18:$B$28</c:f>
              <c:numCache>
                <c:formatCode>General</c:formatCode>
                <c:ptCount val="11"/>
                <c:pt idx="0">
                  <c:v>53</c:v>
                </c:pt>
                <c:pt idx="1">
                  <c:v>19</c:v>
                </c:pt>
                <c:pt idx="2">
                  <c:v>1</c:v>
                </c:pt>
                <c:pt idx="3">
                  <c:v>3</c:v>
                </c:pt>
                <c:pt idx="4">
                  <c:v>2</c:v>
                </c:pt>
                <c:pt idx="5">
                  <c:v>2</c:v>
                </c:pt>
                <c:pt idx="6">
                  <c:v>0</c:v>
                </c:pt>
                <c:pt idx="7">
                  <c:v>0</c:v>
                </c:pt>
                <c:pt idx="8">
                  <c:v>11</c:v>
                </c:pt>
                <c:pt idx="9">
                  <c:v>17</c:v>
                </c:pt>
                <c:pt idx="10">
                  <c:v>2</c:v>
                </c:pt>
              </c:numCache>
            </c:numRef>
          </c:val>
          <c:extLst>
            <c:ext xmlns:c16="http://schemas.microsoft.com/office/drawing/2014/chart" uri="{C3380CC4-5D6E-409C-BE32-E72D297353CC}">
              <c16:uniqueId val="{00000000-AD1F-4DE6-9662-9B1DD5C77C82}"/>
            </c:ext>
          </c:extLst>
        </c:ser>
        <c:dLbls>
          <c:showLegendKey val="0"/>
          <c:showVal val="0"/>
          <c:showCatName val="0"/>
          <c:showSerName val="0"/>
          <c:showPercent val="0"/>
          <c:showBubbleSize val="0"/>
        </c:dLbls>
        <c:gapWidth val="219"/>
        <c:axId val="12387056"/>
        <c:axId val="12360944"/>
      </c:barChart>
      <c:catAx>
        <c:axId val="1238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60944"/>
        <c:crosses val="autoZero"/>
        <c:auto val="1"/>
        <c:lblAlgn val="ctr"/>
        <c:lblOffset val="100"/>
        <c:noMultiLvlLbl val="0"/>
      </c:catAx>
      <c:valAx>
        <c:axId val="1236094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87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a:t>
            </a:r>
            <a:r>
              <a:rPr lang="en-US" baseline="0"/>
              <a:t> applications (age and gender)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tx>
            <c:strRef>
              <c:f>'Gender v Age'!$C$1</c:f>
              <c:strCache>
                <c:ptCount val="1"/>
                <c:pt idx="0">
                  <c:v>Total</c:v>
                </c:pt>
              </c:strCache>
            </c:strRef>
          </c:tx>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1-891E-46DA-8722-174FCA8159ED}"/>
              </c:ext>
            </c:extLst>
          </c:dPt>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3-891E-46DA-8722-174FCA8159ED}"/>
              </c:ext>
            </c:extLst>
          </c:dPt>
          <c:dPt>
            <c:idx val="2"/>
            <c:invertIfNegative val="0"/>
            <c:bubble3D val="0"/>
            <c:spPr>
              <a:solidFill>
                <a:srgbClr val="00B0F0"/>
              </a:solidFill>
              <a:ln>
                <a:noFill/>
              </a:ln>
              <a:effectLst/>
            </c:spPr>
            <c:extLst>
              <c:ext xmlns:c16="http://schemas.microsoft.com/office/drawing/2014/chart" uri="{C3380CC4-5D6E-409C-BE32-E72D297353CC}">
                <c16:uniqueId val="{00000005-891E-46DA-8722-174FCA8159ED}"/>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7-891E-46DA-8722-174FCA8159ED}"/>
              </c:ext>
            </c:extLst>
          </c:dPt>
          <c:dPt>
            <c:idx val="4"/>
            <c:invertIfNegative val="0"/>
            <c:bubble3D val="0"/>
            <c:spPr>
              <a:solidFill>
                <a:srgbClr val="00B0F0"/>
              </a:solidFill>
              <a:ln>
                <a:noFill/>
              </a:ln>
              <a:effectLst/>
            </c:spPr>
            <c:extLst>
              <c:ext xmlns:c16="http://schemas.microsoft.com/office/drawing/2014/chart" uri="{C3380CC4-5D6E-409C-BE32-E72D297353CC}">
                <c16:uniqueId val="{00000009-891E-46DA-8722-174FCA8159ED}"/>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B-891E-46DA-8722-174FCA8159ED}"/>
              </c:ext>
            </c:extLst>
          </c:dPt>
          <c:dPt>
            <c:idx val="6"/>
            <c:invertIfNegative val="0"/>
            <c:bubble3D val="0"/>
            <c:spPr>
              <a:solidFill>
                <a:srgbClr val="00B0F0"/>
              </a:solidFill>
              <a:ln>
                <a:noFill/>
              </a:ln>
              <a:effectLst/>
            </c:spPr>
            <c:extLst>
              <c:ext xmlns:c16="http://schemas.microsoft.com/office/drawing/2014/chart" uri="{C3380CC4-5D6E-409C-BE32-E72D297353CC}">
                <c16:uniqueId val="{0000000D-891E-46DA-8722-174FCA8159ED}"/>
              </c:ext>
            </c:extLst>
          </c:dPt>
          <c:dPt>
            <c:idx val="7"/>
            <c:invertIfNegative val="0"/>
            <c:bubble3D val="0"/>
            <c:spPr>
              <a:solidFill>
                <a:schemeClr val="accent2">
                  <a:lumMod val="75000"/>
                </a:schemeClr>
              </a:solidFill>
              <a:ln>
                <a:noFill/>
              </a:ln>
              <a:effectLst/>
            </c:spPr>
            <c:extLst>
              <c:ext xmlns:c16="http://schemas.microsoft.com/office/drawing/2014/chart" uri="{C3380CC4-5D6E-409C-BE32-E72D297353CC}">
                <c16:uniqueId val="{0000000F-891E-46DA-8722-174FCA8159ED}"/>
              </c:ext>
            </c:extLst>
          </c:dPt>
          <c:dPt>
            <c:idx val="8"/>
            <c:invertIfNegative val="0"/>
            <c:bubble3D val="0"/>
            <c:spPr>
              <a:solidFill>
                <a:srgbClr val="00B0F0"/>
              </a:solidFill>
              <a:ln>
                <a:noFill/>
              </a:ln>
              <a:effectLst/>
            </c:spPr>
            <c:extLst>
              <c:ext xmlns:c16="http://schemas.microsoft.com/office/drawing/2014/chart" uri="{C3380CC4-5D6E-409C-BE32-E72D297353CC}">
                <c16:uniqueId val="{00000011-891E-46DA-8722-174FCA8159ED}"/>
              </c:ext>
            </c:extLst>
          </c:dPt>
          <c:dPt>
            <c:idx val="9"/>
            <c:invertIfNegative val="0"/>
            <c:bubble3D val="0"/>
            <c:spPr>
              <a:solidFill>
                <a:schemeClr val="accent2">
                  <a:lumMod val="75000"/>
                </a:schemeClr>
              </a:solidFill>
              <a:ln>
                <a:noFill/>
              </a:ln>
              <a:effectLst/>
            </c:spPr>
            <c:extLst>
              <c:ext xmlns:c16="http://schemas.microsoft.com/office/drawing/2014/chart" uri="{C3380CC4-5D6E-409C-BE32-E72D297353CC}">
                <c16:uniqueId val="{00000013-891E-46DA-8722-174FCA8159ED}"/>
              </c:ext>
            </c:extLst>
          </c:dPt>
          <c:dPt>
            <c:idx val="10"/>
            <c:invertIfNegative val="0"/>
            <c:bubble3D val="0"/>
            <c:spPr>
              <a:solidFill>
                <a:srgbClr val="00B0F0"/>
              </a:solidFill>
              <a:ln>
                <a:noFill/>
              </a:ln>
              <a:effectLst/>
            </c:spPr>
            <c:extLst>
              <c:ext xmlns:c16="http://schemas.microsoft.com/office/drawing/2014/chart" uri="{C3380CC4-5D6E-409C-BE32-E72D297353CC}">
                <c16:uniqueId val="{00000015-891E-46DA-8722-174FCA8159ED}"/>
              </c:ext>
            </c:extLst>
          </c:dPt>
          <c:dPt>
            <c:idx val="11"/>
            <c:invertIfNegative val="0"/>
            <c:bubble3D val="0"/>
            <c:spPr>
              <a:solidFill>
                <a:schemeClr val="accent2">
                  <a:lumMod val="75000"/>
                </a:schemeClr>
              </a:solidFill>
              <a:ln>
                <a:noFill/>
              </a:ln>
              <a:effectLst/>
            </c:spPr>
            <c:extLst>
              <c:ext xmlns:c16="http://schemas.microsoft.com/office/drawing/2014/chart" uri="{C3380CC4-5D6E-409C-BE32-E72D297353CC}">
                <c16:uniqueId val="{00000017-891E-46DA-8722-174FCA8159ED}"/>
              </c:ext>
            </c:extLst>
          </c:dPt>
          <c:dPt>
            <c:idx val="12"/>
            <c:invertIfNegative val="0"/>
            <c:bubble3D val="0"/>
            <c:spPr>
              <a:solidFill>
                <a:srgbClr val="00B0F0"/>
              </a:solidFill>
              <a:ln>
                <a:noFill/>
              </a:ln>
              <a:effectLst/>
            </c:spPr>
            <c:extLst>
              <c:ext xmlns:c16="http://schemas.microsoft.com/office/drawing/2014/chart" uri="{C3380CC4-5D6E-409C-BE32-E72D297353CC}">
                <c16:uniqueId val="{00000019-891E-46DA-8722-174FCA8159ED}"/>
              </c:ext>
            </c:extLst>
          </c:dPt>
          <c:dPt>
            <c:idx val="13"/>
            <c:invertIfNegative val="0"/>
            <c:bubble3D val="0"/>
            <c:spPr>
              <a:solidFill>
                <a:schemeClr val="accent2">
                  <a:lumMod val="75000"/>
                </a:schemeClr>
              </a:solidFill>
              <a:ln>
                <a:noFill/>
              </a:ln>
              <a:effectLst/>
            </c:spPr>
            <c:extLst>
              <c:ext xmlns:c16="http://schemas.microsoft.com/office/drawing/2014/chart" uri="{C3380CC4-5D6E-409C-BE32-E72D297353CC}">
                <c16:uniqueId val="{0000001B-891E-46DA-8722-174FCA8159E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'Gender v Age'!$A$2:$B$15</c:f>
              <c:multiLvlStrCache>
                <c:ptCount val="14"/>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pt idx="12">
                    <c:v>Male</c:v>
                  </c:pt>
                  <c:pt idx="13">
                    <c:v>Female</c:v>
                  </c:pt>
                </c:lvl>
                <c:lvl>
                  <c:pt idx="0">
                    <c:v>18-25</c:v>
                  </c:pt>
                  <c:pt idx="2">
                    <c:v>26-35</c:v>
                  </c:pt>
                  <c:pt idx="4">
                    <c:v>36-45</c:v>
                  </c:pt>
                  <c:pt idx="6">
                    <c:v>46-55</c:v>
                  </c:pt>
                  <c:pt idx="8">
                    <c:v>56-65</c:v>
                  </c:pt>
                  <c:pt idx="10">
                    <c:v>66+</c:v>
                  </c:pt>
                  <c:pt idx="12">
                    <c:v>Total</c:v>
                  </c:pt>
                </c:lvl>
              </c:multiLvlStrCache>
            </c:multiLvlStrRef>
          </c:cat>
          <c:val>
            <c:numRef>
              <c:f>'Gender v Age'!$C$2:$C$15</c:f>
              <c:numCache>
                <c:formatCode>General</c:formatCode>
                <c:ptCount val="14"/>
                <c:pt idx="0">
                  <c:v>11</c:v>
                </c:pt>
                <c:pt idx="1">
                  <c:v>7</c:v>
                </c:pt>
                <c:pt idx="2">
                  <c:v>14</c:v>
                </c:pt>
                <c:pt idx="3">
                  <c:v>8</c:v>
                </c:pt>
                <c:pt idx="4">
                  <c:v>19</c:v>
                </c:pt>
                <c:pt idx="5">
                  <c:v>14</c:v>
                </c:pt>
                <c:pt idx="6">
                  <c:v>11</c:v>
                </c:pt>
                <c:pt idx="7">
                  <c:v>5</c:v>
                </c:pt>
                <c:pt idx="8">
                  <c:v>13</c:v>
                </c:pt>
                <c:pt idx="9">
                  <c:v>4</c:v>
                </c:pt>
                <c:pt idx="10">
                  <c:v>1</c:v>
                </c:pt>
                <c:pt idx="11">
                  <c:v>3</c:v>
                </c:pt>
                <c:pt idx="12">
                  <c:v>69</c:v>
                </c:pt>
                <c:pt idx="13">
                  <c:v>41</c:v>
                </c:pt>
              </c:numCache>
            </c:numRef>
          </c:val>
          <c:extLst>
            <c:ext xmlns:c16="http://schemas.microsoft.com/office/drawing/2014/chart" uri="{C3380CC4-5D6E-409C-BE32-E72D297353CC}">
              <c16:uniqueId val="{0000001C-891E-46DA-8722-174FCA8159ED}"/>
            </c:ext>
          </c:extLst>
        </c:ser>
        <c:dLbls>
          <c:dLblPos val="outEnd"/>
          <c:showLegendKey val="0"/>
          <c:showVal val="1"/>
          <c:showCatName val="0"/>
          <c:showSerName val="0"/>
          <c:showPercent val="0"/>
          <c:showBubbleSize val="0"/>
        </c:dLbls>
        <c:gapWidth val="219"/>
        <c:overlap val="-27"/>
        <c:axId val="578952335"/>
        <c:axId val="578954735"/>
      </c:barChart>
      <c:catAx>
        <c:axId val="578952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954735"/>
        <c:crosses val="autoZero"/>
        <c:auto val="1"/>
        <c:lblAlgn val="ctr"/>
        <c:lblOffset val="100"/>
        <c:noMultiLvlLbl val="0"/>
      </c:catAx>
      <c:valAx>
        <c:axId val="578954735"/>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9523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a:t>
            </a:r>
            <a:r>
              <a:rPr lang="en-US" baseline="0"/>
              <a:t> of applications (g</a:t>
            </a:r>
            <a:r>
              <a:rPr lang="en-US"/>
              <a:t>ender and 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Ethnicity!$C$1</c:f>
              <c:strCache>
                <c:ptCount val="1"/>
                <c:pt idx="0">
                  <c:v>Total</c:v>
                </c:pt>
              </c:strCache>
            </c:strRef>
          </c:tx>
          <c:spPr>
            <a:solidFill>
              <a:schemeClr val="accent1"/>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1-C0BE-4C57-B315-AC8AC9B70417}"/>
              </c:ext>
            </c:extLst>
          </c:dPt>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3-C0BE-4C57-B315-AC8AC9B70417}"/>
              </c:ext>
            </c:extLst>
          </c:dPt>
          <c:dPt>
            <c:idx val="2"/>
            <c:invertIfNegative val="0"/>
            <c:bubble3D val="0"/>
            <c:spPr>
              <a:solidFill>
                <a:srgbClr val="00B0F0"/>
              </a:solidFill>
              <a:ln>
                <a:noFill/>
              </a:ln>
              <a:effectLst/>
            </c:spPr>
            <c:extLst>
              <c:ext xmlns:c16="http://schemas.microsoft.com/office/drawing/2014/chart" uri="{C3380CC4-5D6E-409C-BE32-E72D297353CC}">
                <c16:uniqueId val="{00000005-C0BE-4C57-B315-AC8AC9B70417}"/>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7-C0BE-4C57-B315-AC8AC9B70417}"/>
              </c:ext>
            </c:extLst>
          </c:dPt>
          <c:dPt>
            <c:idx val="4"/>
            <c:invertIfNegative val="0"/>
            <c:bubble3D val="0"/>
            <c:spPr>
              <a:solidFill>
                <a:srgbClr val="00B0F0"/>
              </a:solidFill>
              <a:ln>
                <a:noFill/>
              </a:ln>
              <a:effectLst/>
            </c:spPr>
            <c:extLst>
              <c:ext xmlns:c16="http://schemas.microsoft.com/office/drawing/2014/chart" uri="{C3380CC4-5D6E-409C-BE32-E72D297353CC}">
                <c16:uniqueId val="{00000009-C0BE-4C57-B315-AC8AC9B70417}"/>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B-C0BE-4C57-B315-AC8AC9B70417}"/>
              </c:ext>
            </c:extLst>
          </c:dPt>
          <c:dPt>
            <c:idx val="6"/>
            <c:invertIfNegative val="0"/>
            <c:bubble3D val="0"/>
            <c:spPr>
              <a:solidFill>
                <a:srgbClr val="00B0F0"/>
              </a:solidFill>
              <a:ln>
                <a:noFill/>
              </a:ln>
              <a:effectLst/>
            </c:spPr>
            <c:extLst>
              <c:ext xmlns:c16="http://schemas.microsoft.com/office/drawing/2014/chart" uri="{C3380CC4-5D6E-409C-BE32-E72D297353CC}">
                <c16:uniqueId val="{0000000D-C0BE-4C57-B315-AC8AC9B70417}"/>
              </c:ext>
            </c:extLst>
          </c:dPt>
          <c:dPt>
            <c:idx val="9"/>
            <c:invertIfNegative val="0"/>
            <c:bubble3D val="0"/>
            <c:spPr>
              <a:solidFill>
                <a:schemeClr val="accent2">
                  <a:lumMod val="75000"/>
                </a:schemeClr>
              </a:solidFill>
              <a:ln>
                <a:noFill/>
              </a:ln>
              <a:effectLst/>
            </c:spPr>
            <c:extLst>
              <c:ext xmlns:c16="http://schemas.microsoft.com/office/drawing/2014/chart" uri="{C3380CC4-5D6E-409C-BE32-E72D297353CC}">
                <c16:uniqueId val="{0000000F-C0BE-4C57-B315-AC8AC9B70417}"/>
              </c:ext>
            </c:extLst>
          </c:dPt>
          <c:dPt>
            <c:idx val="10"/>
            <c:invertIfNegative val="0"/>
            <c:bubble3D val="0"/>
            <c:spPr>
              <a:solidFill>
                <a:srgbClr val="00B0F0"/>
              </a:solidFill>
              <a:ln>
                <a:noFill/>
              </a:ln>
              <a:effectLst/>
            </c:spPr>
            <c:extLst>
              <c:ext xmlns:c16="http://schemas.microsoft.com/office/drawing/2014/chart" uri="{C3380CC4-5D6E-409C-BE32-E72D297353CC}">
                <c16:uniqueId val="{00000011-C0BE-4C57-B315-AC8AC9B70417}"/>
              </c:ext>
            </c:extLst>
          </c:dPt>
          <c:dPt>
            <c:idx val="11"/>
            <c:invertIfNegative val="0"/>
            <c:bubble3D val="0"/>
            <c:spPr>
              <a:solidFill>
                <a:schemeClr val="accent2">
                  <a:lumMod val="75000"/>
                </a:schemeClr>
              </a:solidFill>
              <a:ln>
                <a:noFill/>
              </a:ln>
              <a:effectLst/>
            </c:spPr>
            <c:extLst>
              <c:ext xmlns:c16="http://schemas.microsoft.com/office/drawing/2014/chart" uri="{C3380CC4-5D6E-409C-BE32-E72D297353CC}">
                <c16:uniqueId val="{00000013-C0BE-4C57-B315-AC8AC9B70417}"/>
              </c:ext>
            </c:extLst>
          </c:dPt>
          <c:dPt>
            <c:idx val="12"/>
            <c:invertIfNegative val="0"/>
            <c:bubble3D val="0"/>
            <c:spPr>
              <a:solidFill>
                <a:srgbClr val="00B0F0"/>
              </a:solidFill>
              <a:ln>
                <a:noFill/>
              </a:ln>
              <a:effectLst/>
            </c:spPr>
            <c:extLst>
              <c:ext xmlns:c16="http://schemas.microsoft.com/office/drawing/2014/chart" uri="{C3380CC4-5D6E-409C-BE32-E72D297353CC}">
                <c16:uniqueId val="{00000015-C0BE-4C57-B315-AC8AC9B70417}"/>
              </c:ext>
            </c:extLst>
          </c:dPt>
          <c:dPt>
            <c:idx val="13"/>
            <c:invertIfNegative val="0"/>
            <c:bubble3D val="0"/>
            <c:spPr>
              <a:solidFill>
                <a:schemeClr val="accent2">
                  <a:lumMod val="75000"/>
                </a:schemeClr>
              </a:solidFill>
              <a:ln>
                <a:noFill/>
              </a:ln>
              <a:effectLst/>
            </c:spPr>
            <c:extLst>
              <c:ext xmlns:c16="http://schemas.microsoft.com/office/drawing/2014/chart" uri="{C3380CC4-5D6E-409C-BE32-E72D297353CC}">
                <c16:uniqueId val="{00000017-C0BE-4C57-B315-AC8AC9B704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Ethnicity!$A$2:$B$15</c:f>
              <c:multiLvlStrCache>
                <c:ptCount val="14"/>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pt idx="12">
                    <c:v>Male</c:v>
                  </c:pt>
                  <c:pt idx="13">
                    <c:v>Female</c:v>
                  </c:pt>
                </c:lvl>
                <c:lvl>
                  <c:pt idx="0">
                    <c:v>White British</c:v>
                  </c:pt>
                  <c:pt idx="2">
                    <c:v>White Other</c:v>
                  </c:pt>
                  <c:pt idx="4">
                    <c:v>South Asian</c:v>
                  </c:pt>
                  <c:pt idx="6">
                    <c:v>Black</c:v>
                  </c:pt>
                  <c:pt idx="8">
                    <c:v>Other</c:v>
                  </c:pt>
                  <c:pt idx="10">
                    <c:v>Not stated</c:v>
                  </c:pt>
                  <c:pt idx="12">
                    <c:v>Mixed British/Mixed Other</c:v>
                  </c:pt>
                </c:lvl>
              </c:multiLvlStrCache>
            </c:multiLvlStrRef>
          </c:cat>
          <c:val>
            <c:numRef>
              <c:f>Ethnicity!$C$2:$C$15</c:f>
              <c:numCache>
                <c:formatCode>General</c:formatCode>
                <c:ptCount val="14"/>
                <c:pt idx="0">
                  <c:v>33</c:v>
                </c:pt>
                <c:pt idx="1">
                  <c:v>18</c:v>
                </c:pt>
                <c:pt idx="2">
                  <c:v>3</c:v>
                </c:pt>
                <c:pt idx="3">
                  <c:v>1</c:v>
                </c:pt>
                <c:pt idx="4">
                  <c:v>11</c:v>
                </c:pt>
                <c:pt idx="5">
                  <c:v>11</c:v>
                </c:pt>
                <c:pt idx="6">
                  <c:v>10</c:v>
                </c:pt>
                <c:pt idx="7">
                  <c:v>0</c:v>
                </c:pt>
                <c:pt idx="8">
                  <c:v>0</c:v>
                </c:pt>
                <c:pt idx="9">
                  <c:v>1</c:v>
                </c:pt>
                <c:pt idx="10">
                  <c:v>8</c:v>
                </c:pt>
                <c:pt idx="11">
                  <c:v>6</c:v>
                </c:pt>
                <c:pt idx="12">
                  <c:v>3</c:v>
                </c:pt>
                <c:pt idx="13">
                  <c:v>5</c:v>
                </c:pt>
              </c:numCache>
            </c:numRef>
          </c:val>
          <c:extLst>
            <c:ext xmlns:c16="http://schemas.microsoft.com/office/drawing/2014/chart" uri="{C3380CC4-5D6E-409C-BE32-E72D297353CC}">
              <c16:uniqueId val="{00000018-C0BE-4C57-B315-AC8AC9B70417}"/>
            </c:ext>
          </c:extLst>
        </c:ser>
        <c:dLbls>
          <c:dLblPos val="inBase"/>
          <c:showLegendKey val="0"/>
          <c:showVal val="1"/>
          <c:showCatName val="0"/>
          <c:showSerName val="0"/>
          <c:showPercent val="0"/>
          <c:showBubbleSize val="0"/>
        </c:dLbls>
        <c:gapWidth val="150"/>
        <c:overlap val="100"/>
        <c:axId val="1733372687"/>
        <c:axId val="1733369327"/>
      </c:barChart>
      <c:catAx>
        <c:axId val="1733372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3369327"/>
        <c:crosses val="autoZero"/>
        <c:auto val="1"/>
        <c:lblAlgn val="ctr"/>
        <c:lblOffset val="100"/>
        <c:noMultiLvlLbl val="0"/>
      </c:catAx>
      <c:valAx>
        <c:axId val="1733369327"/>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3372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Amount of requests</a:t>
            </a:r>
            <a:r>
              <a:rPr lang="en-US" baseline="0"/>
              <a:t> for specific items in PHB applications</a:t>
            </a:r>
            <a:endParaRPr lang="en-US"/>
          </a:p>
        </c:rich>
      </c:tx>
      <c:layout>
        <c:manualLayout>
          <c:xMode val="edge"/>
          <c:yMode val="edge"/>
          <c:x val="0.16896856020112944"/>
          <c:y val="1.055408970976253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'Items Requested'!$B$1</c:f>
              <c:strCache>
                <c:ptCount val="1"/>
                <c:pt idx="0">
                  <c:v>Amount of requests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'Items Requested'!$A$2:$A$34</c:f>
              <c:strCache>
                <c:ptCount val="33"/>
                <c:pt idx="0">
                  <c:v>White Goods</c:v>
                </c:pt>
                <c:pt idx="1">
                  <c:v>Small Kitchen Appliances</c:v>
                </c:pt>
                <c:pt idx="2">
                  <c:v>Furniture</c:v>
                </c:pt>
                <c:pt idx="3">
                  <c:v>Removals (man in a van)</c:v>
                </c:pt>
                <c:pt idx="4">
                  <c:v>Food vouchers</c:v>
                </c:pt>
                <c:pt idx="5">
                  <c:v>Mobile phones</c:v>
                </c:pt>
                <c:pt idx="6">
                  <c:v>Toileteries</c:v>
                </c:pt>
                <c:pt idx="7">
                  <c:v>Clothing</c:v>
                </c:pt>
                <c:pt idx="8">
                  <c:v>Laptops/Tablets</c:v>
                </c:pt>
                <c:pt idx="9">
                  <c:v>Bicycles</c:v>
                </c:pt>
                <c:pt idx="10">
                  <c:v>Gym Memberships</c:v>
                </c:pt>
                <c:pt idx="11">
                  <c:v>Gym Equipment (at home)</c:v>
                </c:pt>
                <c:pt idx="12">
                  <c:v>Televisions</c:v>
                </c:pt>
                <c:pt idx="13">
                  <c:v>Soft Furninshings</c:v>
                </c:pt>
                <c:pt idx="14">
                  <c:v>Game Consoles</c:v>
                </c:pt>
                <c:pt idx="15">
                  <c:v>Sensory Items</c:v>
                </c:pt>
                <c:pt idx="16">
                  <c:v>Internet (Broadband)</c:v>
                </c:pt>
                <c:pt idx="17">
                  <c:v>Bedding/Culturlry etc</c:v>
                </c:pt>
                <c:pt idx="18">
                  <c:v>Smart Doorbells</c:v>
                </c:pt>
                <c:pt idx="19">
                  <c:v>ID Documents</c:v>
                </c:pt>
                <c:pt idx="20">
                  <c:v>Hobby supplies</c:v>
                </c:pt>
                <c:pt idx="21">
                  <c:v>Glasses (Opticians)</c:v>
                </c:pt>
                <c:pt idx="22">
                  <c:v>Tattoo Removal</c:v>
                </c:pt>
                <c:pt idx="23">
                  <c:v>Learning Courses</c:v>
                </c:pt>
                <c:pt idx="24">
                  <c:v>Decorators</c:v>
                </c:pt>
                <c:pt idx="25">
                  <c:v>House cleaning</c:v>
                </c:pt>
                <c:pt idx="26">
                  <c:v>Waste removal</c:v>
                </c:pt>
                <c:pt idx="27">
                  <c:v>Home repairs</c:v>
                </c:pt>
                <c:pt idx="28">
                  <c:v>Storage</c:v>
                </c:pt>
                <c:pt idx="29">
                  <c:v>Trips away</c:v>
                </c:pt>
                <c:pt idx="30">
                  <c:v>Travel costs</c:v>
                </c:pt>
                <c:pt idx="31">
                  <c:v>Alternative therapies</c:v>
                </c:pt>
                <c:pt idx="32">
                  <c:v>Aids (Disability/Mobility)</c:v>
                </c:pt>
              </c:strCache>
            </c:strRef>
          </c:cat>
          <c:val>
            <c:numRef>
              <c:f>'Items Requested'!$B$2:$B$34</c:f>
              <c:numCache>
                <c:formatCode>General</c:formatCode>
                <c:ptCount val="33"/>
                <c:pt idx="0">
                  <c:v>13</c:v>
                </c:pt>
                <c:pt idx="1">
                  <c:v>18</c:v>
                </c:pt>
                <c:pt idx="2">
                  <c:v>22</c:v>
                </c:pt>
                <c:pt idx="3">
                  <c:v>1</c:v>
                </c:pt>
                <c:pt idx="4">
                  <c:v>6</c:v>
                </c:pt>
                <c:pt idx="5">
                  <c:v>15</c:v>
                </c:pt>
                <c:pt idx="6">
                  <c:v>2</c:v>
                </c:pt>
                <c:pt idx="7">
                  <c:v>17</c:v>
                </c:pt>
                <c:pt idx="8">
                  <c:v>11</c:v>
                </c:pt>
                <c:pt idx="9">
                  <c:v>6</c:v>
                </c:pt>
                <c:pt idx="10">
                  <c:v>8</c:v>
                </c:pt>
                <c:pt idx="11">
                  <c:v>3</c:v>
                </c:pt>
                <c:pt idx="12">
                  <c:v>5</c:v>
                </c:pt>
                <c:pt idx="13">
                  <c:v>5</c:v>
                </c:pt>
                <c:pt idx="14">
                  <c:v>4</c:v>
                </c:pt>
                <c:pt idx="15">
                  <c:v>3</c:v>
                </c:pt>
                <c:pt idx="16">
                  <c:v>3</c:v>
                </c:pt>
                <c:pt idx="17">
                  <c:v>3</c:v>
                </c:pt>
                <c:pt idx="18">
                  <c:v>1</c:v>
                </c:pt>
                <c:pt idx="19">
                  <c:v>3</c:v>
                </c:pt>
                <c:pt idx="20">
                  <c:v>6</c:v>
                </c:pt>
                <c:pt idx="21">
                  <c:v>2</c:v>
                </c:pt>
                <c:pt idx="22">
                  <c:v>1</c:v>
                </c:pt>
                <c:pt idx="23">
                  <c:v>1</c:v>
                </c:pt>
                <c:pt idx="24">
                  <c:v>2</c:v>
                </c:pt>
                <c:pt idx="25">
                  <c:v>7</c:v>
                </c:pt>
                <c:pt idx="26">
                  <c:v>2</c:v>
                </c:pt>
                <c:pt idx="27">
                  <c:v>3</c:v>
                </c:pt>
                <c:pt idx="28">
                  <c:v>3</c:v>
                </c:pt>
                <c:pt idx="29">
                  <c:v>2</c:v>
                </c:pt>
                <c:pt idx="30">
                  <c:v>3</c:v>
                </c:pt>
                <c:pt idx="31">
                  <c:v>2</c:v>
                </c:pt>
                <c:pt idx="32">
                  <c:v>2</c:v>
                </c:pt>
              </c:numCache>
            </c:numRef>
          </c:val>
          <c:extLst>
            <c:ext xmlns:c16="http://schemas.microsoft.com/office/drawing/2014/chart" uri="{C3380CC4-5D6E-409C-BE32-E72D297353CC}">
              <c16:uniqueId val="{00000000-B3E2-45D3-A26F-C7A6830BDA7F}"/>
            </c:ext>
          </c:extLst>
        </c:ser>
        <c:dLbls>
          <c:dLblPos val="outEnd"/>
          <c:showLegendKey val="0"/>
          <c:showVal val="1"/>
          <c:showCatName val="0"/>
          <c:showSerName val="0"/>
          <c:showPercent val="0"/>
          <c:showBubbleSize val="0"/>
        </c:dLbls>
        <c:gapWidth val="100"/>
        <c:overlap val="-24"/>
        <c:axId val="119052495"/>
        <c:axId val="119051055"/>
      </c:barChart>
      <c:catAx>
        <c:axId val="11905249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5400000" spcFirstLastPara="1" vertOverflow="ellipsis" wrap="square" anchor="t" anchorCtr="0"/>
          <a:lstStyle/>
          <a:p>
            <a:pPr>
              <a:defRPr sz="900" b="0" i="0" u="none" strike="noStrike" kern="1200" baseline="0">
                <a:solidFill>
                  <a:schemeClr val="tx2"/>
                </a:solidFill>
                <a:latin typeface="+mn-lt"/>
                <a:ea typeface="+mn-ea"/>
                <a:cs typeface="+mn-cs"/>
              </a:defRPr>
            </a:pPr>
            <a:endParaRPr lang="en-US"/>
          </a:p>
        </c:txPr>
        <c:crossAx val="119051055"/>
        <c:crosses val="autoZero"/>
        <c:auto val="0"/>
        <c:lblAlgn val="ctr"/>
        <c:lblOffset val="100"/>
        <c:noMultiLvlLbl val="0"/>
      </c:catAx>
      <c:valAx>
        <c:axId val="119051055"/>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90524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'Additional Support'!$D$1</c:f>
              <c:strCache>
                <c:ptCount val="1"/>
                <c:pt idx="0">
                  <c:v>Amount of referrals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'Additional Support'!$C$2:$C$20</c:f>
              <c:strCache>
                <c:ptCount val="19"/>
                <c:pt idx="0">
                  <c:v>SMILE</c:v>
                </c:pt>
                <c:pt idx="1">
                  <c:v>Employment/Vocational</c:v>
                </c:pt>
                <c:pt idx="2">
                  <c:v>Percy Bilton</c:v>
                </c:pt>
                <c:pt idx="3">
                  <c:v>Housing Associaton</c:v>
                </c:pt>
                <c:pt idx="4">
                  <c:v>Well Together</c:v>
                </c:pt>
                <c:pt idx="5">
                  <c:v>Bereavement support</c:v>
                </c:pt>
                <c:pt idx="6">
                  <c:v>Mental Health Crisis Support</c:v>
                </c:pt>
                <c:pt idx="7">
                  <c:v>Immigration/Refugee Support</c:v>
                </c:pt>
                <c:pt idx="8">
                  <c:v>Mental Health non crisis support</c:v>
                </c:pt>
                <c:pt idx="9">
                  <c:v>Physical Health (exercise/wellbeing)</c:v>
                </c:pt>
                <c:pt idx="10">
                  <c:v>InnChurches</c:v>
                </c:pt>
                <c:pt idx="11">
                  <c:v>Reach</c:v>
                </c:pt>
                <c:pt idx="12">
                  <c:v>Social Care </c:v>
                </c:pt>
                <c:pt idx="13">
                  <c:v>Substance support</c:v>
                </c:pt>
                <c:pt idx="14">
                  <c:v>Bus Passes</c:v>
                </c:pt>
                <c:pt idx="15">
                  <c:v>Trust Services</c:v>
                </c:pt>
                <c:pt idx="16">
                  <c:v>Food banks/parcels</c:v>
                </c:pt>
                <c:pt idx="17">
                  <c:v>Family Hubs</c:v>
                </c:pt>
                <c:pt idx="18">
                  <c:v>Other VCSE Support</c:v>
                </c:pt>
              </c:strCache>
            </c:strRef>
          </c:cat>
          <c:val>
            <c:numRef>
              <c:f>'Additional Support'!$D$2:$D$20</c:f>
              <c:numCache>
                <c:formatCode>General</c:formatCode>
                <c:ptCount val="19"/>
                <c:pt idx="0">
                  <c:v>17</c:v>
                </c:pt>
                <c:pt idx="1">
                  <c:v>36</c:v>
                </c:pt>
                <c:pt idx="2">
                  <c:v>18</c:v>
                </c:pt>
                <c:pt idx="3">
                  <c:v>3</c:v>
                </c:pt>
                <c:pt idx="4">
                  <c:v>6</c:v>
                </c:pt>
                <c:pt idx="5">
                  <c:v>1</c:v>
                </c:pt>
                <c:pt idx="6">
                  <c:v>99</c:v>
                </c:pt>
                <c:pt idx="7">
                  <c:v>7</c:v>
                </c:pt>
                <c:pt idx="8">
                  <c:v>114</c:v>
                </c:pt>
                <c:pt idx="9">
                  <c:v>58</c:v>
                </c:pt>
                <c:pt idx="10">
                  <c:v>10</c:v>
                </c:pt>
                <c:pt idx="11">
                  <c:v>13</c:v>
                </c:pt>
                <c:pt idx="12">
                  <c:v>8</c:v>
                </c:pt>
                <c:pt idx="13">
                  <c:v>11</c:v>
                </c:pt>
                <c:pt idx="14">
                  <c:v>15</c:v>
                </c:pt>
                <c:pt idx="15">
                  <c:v>4</c:v>
                </c:pt>
                <c:pt idx="16">
                  <c:v>35</c:v>
                </c:pt>
                <c:pt idx="17">
                  <c:v>15</c:v>
                </c:pt>
                <c:pt idx="18">
                  <c:v>89</c:v>
                </c:pt>
              </c:numCache>
            </c:numRef>
          </c:val>
          <c:extLst>
            <c:ext xmlns:c16="http://schemas.microsoft.com/office/drawing/2014/chart" uri="{C3380CC4-5D6E-409C-BE32-E72D297353CC}">
              <c16:uniqueId val="{00000000-461B-43EF-93EB-67BAA3687596}"/>
            </c:ext>
          </c:extLst>
        </c:ser>
        <c:dLbls>
          <c:dLblPos val="outEnd"/>
          <c:showLegendKey val="0"/>
          <c:showVal val="1"/>
          <c:showCatName val="0"/>
          <c:showSerName val="0"/>
          <c:showPercent val="0"/>
          <c:showBubbleSize val="0"/>
        </c:dLbls>
        <c:gapWidth val="219"/>
        <c:overlap val="-27"/>
        <c:axId val="122703199"/>
        <c:axId val="122704639"/>
      </c:barChart>
      <c:catAx>
        <c:axId val="12270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704639"/>
        <c:crosses val="autoZero"/>
        <c:auto val="1"/>
        <c:lblAlgn val="ctr"/>
        <c:lblOffset val="100"/>
        <c:noMultiLvlLbl val="0"/>
      </c:catAx>
      <c:valAx>
        <c:axId val="122704639"/>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703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rot="5400000" vert="horz"/>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'Additional Support'!$B$1</c:f>
              <c:strCache>
                <c:ptCount val="1"/>
                <c:pt idx="0">
                  <c:v>Amount of referrals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'Additional Support'!$A$2:$A$43</c:f>
              <c:strCache>
                <c:ptCount val="42"/>
                <c:pt idx="0">
                  <c:v>SMILE</c:v>
                </c:pt>
                <c:pt idx="1">
                  <c:v>IPS/Employment/Vocational support</c:v>
                </c:pt>
                <c:pt idx="2">
                  <c:v>Percy Bilton</c:v>
                </c:pt>
                <c:pt idx="3">
                  <c:v>OT Assessment</c:v>
                </c:pt>
                <c:pt idx="4">
                  <c:v>Housing Association</c:v>
                </c:pt>
                <c:pt idx="5">
                  <c:v>Well Together</c:v>
                </c:pt>
                <c:pt idx="6">
                  <c:v>BEEP</c:v>
                </c:pt>
                <c:pt idx="7">
                  <c:v>Bereavement Support</c:v>
                </c:pt>
                <c:pt idx="8">
                  <c:v>First Response/Crisis Support</c:v>
                </c:pt>
                <c:pt idx="9">
                  <c:v>Immigration/Refugee support</c:v>
                </c:pt>
                <c:pt idx="10">
                  <c:v>Guideline</c:v>
                </c:pt>
                <c:pt idx="11">
                  <c:v>Bradford Bikery</c:v>
                </c:pt>
                <c:pt idx="12">
                  <c:v>InnChurches</c:v>
                </c:pt>
                <c:pt idx="13">
                  <c:v>REACH (Cellar Trust)</c:v>
                </c:pt>
                <c:pt idx="14">
                  <c:v>Bradford Leisure Card</c:v>
                </c:pt>
                <c:pt idx="15">
                  <c:v>Childrens Social Care</c:v>
                </c:pt>
                <c:pt idx="16">
                  <c:v>Andys Man Club</c:v>
                </c:pt>
                <c:pt idx="17">
                  <c:v>Substance support</c:v>
                </c:pt>
                <c:pt idx="18">
                  <c:v>Local Authority (Care Acts)</c:v>
                </c:pt>
                <c:pt idx="19">
                  <c:v>Social Inclusion</c:v>
                </c:pt>
                <c:pt idx="20">
                  <c:v>Local Authority (Rehabiliation support physical health)</c:v>
                </c:pt>
                <c:pt idx="21">
                  <c:v>Bus passes</c:v>
                </c:pt>
                <c:pt idx="22">
                  <c:v>IOT</c:v>
                </c:pt>
                <c:pt idx="23">
                  <c:v>Mind in Bradford</c:v>
                </c:pt>
                <c:pt idx="24">
                  <c:v>EIP</c:v>
                </c:pt>
                <c:pt idx="25">
                  <c:v>Food Banks</c:v>
                </c:pt>
                <c:pt idx="26">
                  <c:v>Community Computer/IT support</c:v>
                </c:pt>
                <c:pt idx="27">
                  <c:v>Maastricht (Hearing Voices)</c:v>
                </c:pt>
                <c:pt idx="28">
                  <c:v>Community Repaint</c:v>
                </c:pt>
                <c:pt idx="29">
                  <c:v>Wavelength</c:v>
                </c:pt>
                <c:pt idx="30">
                  <c:v>Family Hub</c:v>
                </c:pt>
                <c:pt idx="31">
                  <c:v>Volunteer</c:v>
                </c:pt>
                <c:pt idx="32">
                  <c:v>Library</c:v>
                </c:pt>
                <c:pt idx="33">
                  <c:v>Independence @ Home</c:v>
                </c:pt>
                <c:pt idx="34">
                  <c:v>Creative groups</c:v>
                </c:pt>
                <c:pt idx="35">
                  <c:v>Bradford University Gym</c:v>
                </c:pt>
                <c:pt idx="36">
                  <c:v>HAF (Bradford council school holiday support)</c:v>
                </c:pt>
                <c:pt idx="37">
                  <c:v>Couch to Fitness</c:v>
                </c:pt>
                <c:pt idx="38">
                  <c:v>Walk &amp; Talk wellbeing</c:v>
                </c:pt>
                <c:pt idx="39">
                  <c:v>SMILE</c:v>
                </c:pt>
                <c:pt idx="40">
                  <c:v>Safe spaces</c:v>
                </c:pt>
                <c:pt idx="41">
                  <c:v>Other</c:v>
                </c:pt>
              </c:strCache>
            </c:strRef>
          </c:cat>
          <c:val>
            <c:numRef>
              <c:f>'Additional Support'!$B$2:$B$43</c:f>
              <c:numCache>
                <c:formatCode>General</c:formatCode>
                <c:ptCount val="42"/>
                <c:pt idx="0">
                  <c:v>14</c:v>
                </c:pt>
                <c:pt idx="1">
                  <c:v>21</c:v>
                </c:pt>
                <c:pt idx="2">
                  <c:v>18</c:v>
                </c:pt>
                <c:pt idx="3">
                  <c:v>1</c:v>
                </c:pt>
                <c:pt idx="4">
                  <c:v>3</c:v>
                </c:pt>
                <c:pt idx="5">
                  <c:v>6</c:v>
                </c:pt>
                <c:pt idx="6">
                  <c:v>27</c:v>
                </c:pt>
                <c:pt idx="7">
                  <c:v>1</c:v>
                </c:pt>
                <c:pt idx="8">
                  <c:v>22</c:v>
                </c:pt>
                <c:pt idx="9">
                  <c:v>7</c:v>
                </c:pt>
                <c:pt idx="10">
                  <c:v>104</c:v>
                </c:pt>
                <c:pt idx="11">
                  <c:v>9</c:v>
                </c:pt>
                <c:pt idx="12">
                  <c:v>10</c:v>
                </c:pt>
                <c:pt idx="13">
                  <c:v>13</c:v>
                </c:pt>
                <c:pt idx="14">
                  <c:v>12</c:v>
                </c:pt>
                <c:pt idx="15">
                  <c:v>1</c:v>
                </c:pt>
                <c:pt idx="16">
                  <c:v>10</c:v>
                </c:pt>
                <c:pt idx="17">
                  <c:v>11</c:v>
                </c:pt>
                <c:pt idx="18">
                  <c:v>4</c:v>
                </c:pt>
                <c:pt idx="19">
                  <c:v>10</c:v>
                </c:pt>
                <c:pt idx="20">
                  <c:v>2</c:v>
                </c:pt>
                <c:pt idx="21">
                  <c:v>15</c:v>
                </c:pt>
                <c:pt idx="22">
                  <c:v>1</c:v>
                </c:pt>
                <c:pt idx="23">
                  <c:v>9</c:v>
                </c:pt>
                <c:pt idx="24">
                  <c:v>2</c:v>
                </c:pt>
                <c:pt idx="25">
                  <c:v>25</c:v>
                </c:pt>
                <c:pt idx="26">
                  <c:v>9</c:v>
                </c:pt>
                <c:pt idx="27">
                  <c:v>3</c:v>
                </c:pt>
                <c:pt idx="28">
                  <c:v>2</c:v>
                </c:pt>
                <c:pt idx="29">
                  <c:v>3</c:v>
                </c:pt>
                <c:pt idx="30">
                  <c:v>15</c:v>
                </c:pt>
                <c:pt idx="31">
                  <c:v>12</c:v>
                </c:pt>
                <c:pt idx="32">
                  <c:v>9</c:v>
                </c:pt>
                <c:pt idx="33">
                  <c:v>3</c:v>
                </c:pt>
                <c:pt idx="34">
                  <c:v>10</c:v>
                </c:pt>
                <c:pt idx="35">
                  <c:v>4</c:v>
                </c:pt>
                <c:pt idx="36">
                  <c:v>10</c:v>
                </c:pt>
                <c:pt idx="37">
                  <c:v>5</c:v>
                </c:pt>
                <c:pt idx="38">
                  <c:v>6</c:v>
                </c:pt>
                <c:pt idx="39">
                  <c:v>3</c:v>
                </c:pt>
                <c:pt idx="40">
                  <c:v>77</c:v>
                </c:pt>
                <c:pt idx="41">
                  <c:v>30</c:v>
                </c:pt>
              </c:numCache>
            </c:numRef>
          </c:val>
          <c:extLst>
            <c:ext xmlns:c16="http://schemas.microsoft.com/office/drawing/2014/chart" uri="{C3380CC4-5D6E-409C-BE32-E72D297353CC}">
              <c16:uniqueId val="{00000000-5FB0-4273-824A-13121D5511E3}"/>
            </c:ext>
          </c:extLst>
        </c:ser>
        <c:dLbls>
          <c:dLblPos val="outEnd"/>
          <c:showLegendKey val="0"/>
          <c:showVal val="1"/>
          <c:showCatName val="0"/>
          <c:showSerName val="0"/>
          <c:showPercent val="0"/>
          <c:showBubbleSize val="0"/>
        </c:dLbls>
        <c:gapWidth val="219"/>
        <c:overlap val="-27"/>
        <c:axId val="1583903151"/>
        <c:axId val="1583904111"/>
      </c:barChart>
      <c:catAx>
        <c:axId val="1583903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904111"/>
        <c:crosses val="autoZero"/>
        <c:auto val="1"/>
        <c:lblAlgn val="ctr"/>
        <c:lblOffset val="100"/>
        <c:noMultiLvlLbl val="0"/>
      </c:catAx>
      <c:valAx>
        <c:axId val="1583904111"/>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9031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Number of Individuals</c:v>
                </c:pt>
              </c:strCache>
            </c:strRef>
          </c:tx>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4-3F89-428C-9E8B-8977DE0C2924}"/>
              </c:ext>
            </c:extLst>
          </c:dPt>
          <c:dPt>
            <c:idx val="1"/>
            <c:invertIfNegative val="0"/>
            <c:bubble3D val="0"/>
            <c:spPr>
              <a:solidFill>
                <a:srgbClr val="FFC000"/>
              </a:solidFill>
              <a:ln>
                <a:noFill/>
              </a:ln>
              <a:effectLst/>
            </c:spPr>
            <c:extLst>
              <c:ext xmlns:c16="http://schemas.microsoft.com/office/drawing/2014/chart" uri="{C3380CC4-5D6E-409C-BE32-E72D297353CC}">
                <c16:uniqueId val="{00000005-3F89-428C-9E8B-8977DE0C2924}"/>
              </c:ext>
            </c:extLst>
          </c:dPt>
          <c:dPt>
            <c:idx val="2"/>
            <c:invertIfNegative val="0"/>
            <c:bubble3D val="0"/>
            <c:spPr>
              <a:solidFill>
                <a:srgbClr val="FF0000"/>
              </a:solidFill>
              <a:ln>
                <a:noFill/>
              </a:ln>
              <a:effectLst/>
            </c:spPr>
            <c:extLst>
              <c:ext xmlns:c16="http://schemas.microsoft.com/office/drawing/2014/chart" uri="{C3380CC4-5D6E-409C-BE32-E72D297353CC}">
                <c16:uniqueId val="{00000003-3F89-428C-9E8B-8977DE0C292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Improved</c:v>
                </c:pt>
                <c:pt idx="1">
                  <c:v>Remained same</c:v>
                </c:pt>
                <c:pt idx="2">
                  <c:v>Deteriorated</c:v>
                </c:pt>
              </c:strCache>
            </c:strRef>
          </c:cat>
          <c:val>
            <c:numRef>
              <c:f>Sheet1!$B$2:$B$4</c:f>
              <c:numCache>
                <c:formatCode>General</c:formatCode>
                <c:ptCount val="3"/>
                <c:pt idx="0">
                  <c:v>29</c:v>
                </c:pt>
                <c:pt idx="1">
                  <c:v>0</c:v>
                </c:pt>
                <c:pt idx="2">
                  <c:v>2</c:v>
                </c:pt>
              </c:numCache>
            </c:numRef>
          </c:val>
          <c:extLst>
            <c:ext xmlns:c16="http://schemas.microsoft.com/office/drawing/2014/chart" uri="{C3380CC4-5D6E-409C-BE32-E72D297353CC}">
              <c16:uniqueId val="{00000000-3F89-428C-9E8B-8977DE0C2924}"/>
            </c:ext>
          </c:extLst>
        </c:ser>
        <c:dLbls>
          <c:dLblPos val="outEnd"/>
          <c:showLegendKey val="0"/>
          <c:showVal val="1"/>
          <c:showCatName val="0"/>
          <c:showSerName val="0"/>
          <c:showPercent val="0"/>
          <c:showBubbleSize val="0"/>
        </c:dLbls>
        <c:gapWidth val="182"/>
        <c:axId val="1381581615"/>
        <c:axId val="1381576335"/>
      </c:barChart>
      <c:catAx>
        <c:axId val="1381581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1576335"/>
        <c:crosses val="autoZero"/>
        <c:auto val="1"/>
        <c:lblAlgn val="ctr"/>
        <c:lblOffset val="100"/>
        <c:noMultiLvlLbl val="0"/>
      </c:catAx>
      <c:valAx>
        <c:axId val="1381576335"/>
        <c:scaling>
          <c:orientation val="minMax"/>
        </c:scaling>
        <c:delete val="1"/>
        <c:axPos val="b"/>
        <c:numFmt formatCode="General" sourceLinked="1"/>
        <c:majorTickMark val="none"/>
        <c:minorTickMark val="none"/>
        <c:tickLblPos val="nextTo"/>
        <c:crossAx val="1381581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bubbles!$A$2</c:f>
              <c:strCache>
                <c:ptCount val="1"/>
                <c:pt idx="0">
                  <c:v>Improved</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bubbles!$B$1:$G$1</c:f>
              <c:strCache>
                <c:ptCount val="6"/>
                <c:pt idx="0">
                  <c:v>Activity</c:v>
                </c:pt>
                <c:pt idx="1">
                  <c:v>Relationships and Belonging</c:v>
                </c:pt>
                <c:pt idx="2">
                  <c:v>Choice, Control and Autonomy </c:v>
                </c:pt>
                <c:pt idx="3">
                  <c:v>Hope</c:v>
                </c:pt>
                <c:pt idx="4">
                  <c:v>Self Perception</c:v>
                </c:pt>
                <c:pt idx="5">
                  <c:v>Wellbeing</c:v>
                </c:pt>
              </c:strCache>
            </c:strRef>
          </c:cat>
          <c:val>
            <c:numRef>
              <c:f>bubbles!$B$2:$G$2</c:f>
              <c:numCache>
                <c:formatCode>General</c:formatCode>
                <c:ptCount val="6"/>
                <c:pt idx="0">
                  <c:v>17</c:v>
                </c:pt>
                <c:pt idx="1">
                  <c:v>19</c:v>
                </c:pt>
                <c:pt idx="2">
                  <c:v>24</c:v>
                </c:pt>
                <c:pt idx="3">
                  <c:v>16</c:v>
                </c:pt>
                <c:pt idx="4">
                  <c:v>16</c:v>
                </c:pt>
                <c:pt idx="5">
                  <c:v>20</c:v>
                </c:pt>
              </c:numCache>
            </c:numRef>
          </c:val>
          <c:extLst>
            <c:ext xmlns:c16="http://schemas.microsoft.com/office/drawing/2014/chart" uri="{C3380CC4-5D6E-409C-BE32-E72D297353CC}">
              <c16:uniqueId val="{00000000-C058-4E0C-BD8A-20656B6A53AD}"/>
            </c:ext>
          </c:extLst>
        </c:ser>
        <c:ser>
          <c:idx val="1"/>
          <c:order val="1"/>
          <c:tx>
            <c:strRef>
              <c:f>bubbles!$A$3</c:f>
              <c:strCache>
                <c:ptCount val="1"/>
                <c:pt idx="0">
                  <c:v>Remained same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bubbles!$B$1:$G$1</c:f>
              <c:strCache>
                <c:ptCount val="6"/>
                <c:pt idx="0">
                  <c:v>Activity</c:v>
                </c:pt>
                <c:pt idx="1">
                  <c:v>Relationships and Belonging</c:v>
                </c:pt>
                <c:pt idx="2">
                  <c:v>Choice, Control and Autonomy </c:v>
                </c:pt>
                <c:pt idx="3">
                  <c:v>Hope</c:v>
                </c:pt>
                <c:pt idx="4">
                  <c:v>Self Perception</c:v>
                </c:pt>
                <c:pt idx="5">
                  <c:v>Wellbeing</c:v>
                </c:pt>
              </c:strCache>
            </c:strRef>
          </c:cat>
          <c:val>
            <c:numRef>
              <c:f>bubbles!$B$3:$G$3</c:f>
              <c:numCache>
                <c:formatCode>General</c:formatCode>
                <c:ptCount val="6"/>
                <c:pt idx="0">
                  <c:v>8</c:v>
                </c:pt>
                <c:pt idx="1">
                  <c:v>5</c:v>
                </c:pt>
                <c:pt idx="2">
                  <c:v>4</c:v>
                </c:pt>
                <c:pt idx="3">
                  <c:v>9</c:v>
                </c:pt>
                <c:pt idx="4">
                  <c:v>11</c:v>
                </c:pt>
                <c:pt idx="5">
                  <c:v>10</c:v>
                </c:pt>
              </c:numCache>
            </c:numRef>
          </c:val>
          <c:extLst>
            <c:ext xmlns:c16="http://schemas.microsoft.com/office/drawing/2014/chart" uri="{C3380CC4-5D6E-409C-BE32-E72D297353CC}">
              <c16:uniqueId val="{00000001-C058-4E0C-BD8A-20656B6A53AD}"/>
            </c:ext>
          </c:extLst>
        </c:ser>
        <c:ser>
          <c:idx val="2"/>
          <c:order val="2"/>
          <c:tx>
            <c:strRef>
              <c:f>bubbles!$A$4</c:f>
              <c:strCache>
                <c:ptCount val="1"/>
                <c:pt idx="0">
                  <c:v>Deteriorated</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bubbles!$B$1:$G$1</c:f>
              <c:strCache>
                <c:ptCount val="6"/>
                <c:pt idx="0">
                  <c:v>Activity</c:v>
                </c:pt>
                <c:pt idx="1">
                  <c:v>Relationships and Belonging</c:v>
                </c:pt>
                <c:pt idx="2">
                  <c:v>Choice, Control and Autonomy </c:v>
                </c:pt>
                <c:pt idx="3">
                  <c:v>Hope</c:v>
                </c:pt>
                <c:pt idx="4">
                  <c:v>Self Perception</c:v>
                </c:pt>
                <c:pt idx="5">
                  <c:v>Wellbeing</c:v>
                </c:pt>
              </c:strCache>
            </c:strRef>
          </c:cat>
          <c:val>
            <c:numRef>
              <c:f>bubbles!$B$4:$G$4</c:f>
              <c:numCache>
                <c:formatCode>General</c:formatCode>
                <c:ptCount val="6"/>
                <c:pt idx="0">
                  <c:v>6</c:v>
                </c:pt>
                <c:pt idx="1">
                  <c:v>7</c:v>
                </c:pt>
                <c:pt idx="2">
                  <c:v>3</c:v>
                </c:pt>
                <c:pt idx="3">
                  <c:v>6</c:v>
                </c:pt>
                <c:pt idx="4">
                  <c:v>4</c:v>
                </c:pt>
                <c:pt idx="5">
                  <c:v>1</c:v>
                </c:pt>
              </c:numCache>
            </c:numRef>
          </c:val>
          <c:extLst>
            <c:ext xmlns:c16="http://schemas.microsoft.com/office/drawing/2014/chart" uri="{C3380CC4-5D6E-409C-BE32-E72D297353CC}">
              <c16:uniqueId val="{00000002-C058-4E0C-BD8A-20656B6A53AD}"/>
            </c:ext>
          </c:extLst>
        </c:ser>
        <c:dLbls>
          <c:dLblPos val="ctr"/>
          <c:showLegendKey val="0"/>
          <c:showVal val="1"/>
          <c:showCatName val="0"/>
          <c:showSerName val="0"/>
          <c:showPercent val="0"/>
          <c:showBubbleSize val="0"/>
        </c:dLbls>
        <c:gapWidth val="150"/>
        <c:overlap val="100"/>
        <c:axId val="230228095"/>
        <c:axId val="230228575"/>
      </c:barChart>
      <c:catAx>
        <c:axId val="230228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228575"/>
        <c:crosses val="autoZero"/>
        <c:auto val="1"/>
        <c:lblAlgn val="ctr"/>
        <c:lblOffset val="100"/>
        <c:noMultiLvlLbl val="0"/>
      </c:catAx>
      <c:valAx>
        <c:axId val="230228575"/>
        <c:scaling>
          <c:orientation val="minMax"/>
        </c:scaling>
        <c:delete val="1"/>
        <c:axPos val="b"/>
        <c:numFmt formatCode="General" sourceLinked="1"/>
        <c:majorTickMark val="none"/>
        <c:minorTickMark val="none"/>
        <c:tickLblPos val="nextTo"/>
        <c:crossAx val="230228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Healthy Minds">
      <a:dk1>
        <a:srgbClr val="000000"/>
      </a:dk1>
      <a:lt1>
        <a:srgbClr val="FFFFFF"/>
      </a:lt1>
      <a:dk2>
        <a:srgbClr val="44546A"/>
      </a:dk2>
      <a:lt2>
        <a:srgbClr val="E7E6E6"/>
      </a:lt2>
      <a:accent1>
        <a:srgbClr val="2C245E"/>
      </a:accent1>
      <a:accent2>
        <a:srgbClr val="E09EC6"/>
      </a:accent2>
      <a:accent3>
        <a:srgbClr val="5FB989"/>
      </a:accent3>
      <a:accent4>
        <a:srgbClr val="66C1BF"/>
      </a:accent4>
      <a:accent5>
        <a:srgbClr val="F3B04D"/>
      </a:accent5>
      <a:accent6>
        <a:srgbClr val="C6C0DA"/>
      </a:accent6>
      <a:hlink>
        <a:srgbClr val="005CB9"/>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D6AF-53D9-4626-9C0E-96727833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Document template</vt:lpstr>
    </vt:vector>
  </TitlesOfParts>
  <Company/>
  <LinksUpToDate>false</LinksUpToDate>
  <CharactersWithSpaces>28582</CharactersWithSpaces>
  <SharedDoc>false</SharedDoc>
  <HLinks>
    <vt:vector size="12" baseType="variant">
      <vt:variant>
        <vt:i4>5570591</vt:i4>
      </vt:variant>
      <vt:variant>
        <vt:i4>3</vt:i4>
      </vt:variant>
      <vt:variant>
        <vt:i4>0</vt:i4>
      </vt:variant>
      <vt:variant>
        <vt:i4>5</vt:i4>
      </vt:variant>
      <vt:variant>
        <vt:lpwstr>https://bdcpartnership.co.uk/</vt:lpwstr>
      </vt:variant>
      <vt:variant>
        <vt:lpwstr/>
      </vt:variant>
      <vt:variant>
        <vt:i4>5570591</vt:i4>
      </vt:variant>
      <vt:variant>
        <vt:i4>0</vt:i4>
      </vt:variant>
      <vt:variant>
        <vt:i4>0</vt:i4>
      </vt:variant>
      <vt:variant>
        <vt:i4>5</vt:i4>
      </vt:variant>
      <vt:variant>
        <vt:lpwstr>https://bdcpartnership.co.uk/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creator>WrathallK</dc:creator>
  <cp:lastModifiedBy>Natasha Noor</cp:lastModifiedBy>
  <cp:revision>2</cp:revision>
  <cp:lastPrinted>2020-09-02T15:13:00Z</cp:lastPrinted>
  <dcterms:created xsi:type="dcterms:W3CDTF">2024-11-15T12:19:00Z</dcterms:created>
  <dcterms:modified xsi:type="dcterms:W3CDTF">2024-11-15T12:19:00Z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562903312</vt:i4>
  </property>
</Properties>
</file>